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96A1D" w14:textId="4D5676AC" w:rsidR="006230F1" w:rsidRPr="008F5562" w:rsidRDefault="001517A0" w:rsidP="00331457">
      <w:pPr>
        <w:jc w:val="center"/>
        <w:rPr>
          <w:rFonts w:ascii="Arial Narrow" w:hAnsi="Arial Narrow"/>
          <w:b/>
          <w:sz w:val="24"/>
          <w:szCs w:val="24"/>
          <w:lang w:val="es-CO"/>
        </w:rPr>
      </w:pPr>
      <w:r>
        <w:rPr>
          <w:rFonts w:ascii="Arial Narrow" w:hAnsi="Arial Narrow"/>
          <w:b/>
          <w:sz w:val="24"/>
          <w:szCs w:val="24"/>
          <w:lang w:val="es-CO"/>
        </w:rPr>
        <w:t>Informe global de comentarios</w:t>
      </w:r>
    </w:p>
    <w:p w14:paraId="6EC8B583" w14:textId="5FFB9A03" w:rsidR="00C17AAB" w:rsidRDefault="00331457" w:rsidP="00B713B8">
      <w:pPr>
        <w:spacing w:after="0" w:line="240" w:lineRule="auto"/>
        <w:jc w:val="center"/>
        <w:rPr>
          <w:rFonts w:ascii="Arial Narrow" w:hAnsi="Arial Narrow"/>
          <w:sz w:val="24"/>
          <w:szCs w:val="24"/>
          <w:lang w:val="es-CO"/>
        </w:rPr>
      </w:pPr>
      <w:r w:rsidRPr="008F5562">
        <w:rPr>
          <w:rFonts w:ascii="Arial Narrow" w:hAnsi="Arial Narrow"/>
          <w:sz w:val="24"/>
          <w:szCs w:val="24"/>
          <w:lang w:val="es-CO"/>
        </w:rPr>
        <w:t xml:space="preserve">Resolución </w:t>
      </w:r>
      <w:r w:rsidR="00B713B8" w:rsidRPr="00B713B8">
        <w:rPr>
          <w:rFonts w:ascii="Arial Narrow" w:hAnsi="Arial Narrow"/>
          <w:sz w:val="24"/>
          <w:szCs w:val="24"/>
          <w:lang w:val="es-CO"/>
        </w:rPr>
        <w:t>“Por la cual se adopta la Metodología General para la Elaboración y Presentación de Estudios Ambientales y se toman otras determinaciones”.</w:t>
      </w:r>
    </w:p>
    <w:p w14:paraId="593DA987" w14:textId="77777777" w:rsidR="00B713B8" w:rsidRDefault="00B713B8" w:rsidP="00B713B8">
      <w:pPr>
        <w:spacing w:after="0" w:line="240" w:lineRule="auto"/>
        <w:jc w:val="center"/>
        <w:rPr>
          <w:rFonts w:ascii="Arial Narrow" w:hAnsi="Arial Narrow"/>
          <w:sz w:val="24"/>
          <w:szCs w:val="24"/>
          <w:lang w:val="es-CO"/>
        </w:rPr>
      </w:pPr>
    </w:p>
    <w:p w14:paraId="622F9371" w14:textId="7E261023" w:rsidR="002E07DA" w:rsidRDefault="002E07DA" w:rsidP="002E07DA">
      <w:pPr>
        <w:spacing w:after="0"/>
        <w:jc w:val="both"/>
        <w:rPr>
          <w:rFonts w:ascii="Arial Narrow" w:hAnsi="Arial Narrow"/>
          <w:sz w:val="24"/>
          <w:szCs w:val="24"/>
          <w:lang w:val="es-CO"/>
        </w:rPr>
      </w:pPr>
      <w:r>
        <w:rPr>
          <w:rFonts w:ascii="Arial Narrow" w:hAnsi="Arial Narrow"/>
          <w:sz w:val="24"/>
          <w:szCs w:val="24"/>
          <w:lang w:val="es-CO"/>
        </w:rPr>
        <w:t xml:space="preserve">Dando cumplimiento a lo </w:t>
      </w:r>
      <w:r w:rsidR="00E5328E">
        <w:rPr>
          <w:rFonts w:ascii="Arial Narrow" w:hAnsi="Arial Narrow"/>
          <w:sz w:val="24"/>
          <w:szCs w:val="24"/>
          <w:lang w:val="es-CO"/>
        </w:rPr>
        <w:t>dispuesto</w:t>
      </w:r>
      <w:r>
        <w:rPr>
          <w:rFonts w:ascii="Arial Narrow" w:hAnsi="Arial Narrow"/>
          <w:sz w:val="24"/>
          <w:szCs w:val="24"/>
          <w:lang w:val="es-CO"/>
        </w:rPr>
        <w:t xml:space="preserve"> en el artículo 2.1.2.1.6 del Decreto 1081 de 201</w:t>
      </w:r>
      <w:r w:rsidR="00CD7F19">
        <w:rPr>
          <w:rFonts w:ascii="Arial Narrow" w:hAnsi="Arial Narrow"/>
          <w:sz w:val="24"/>
          <w:szCs w:val="24"/>
          <w:lang w:val="es-CO"/>
        </w:rPr>
        <w:t xml:space="preserve">5, a </w:t>
      </w:r>
      <w:r w:rsidR="006122DE">
        <w:rPr>
          <w:rFonts w:ascii="Arial Narrow" w:hAnsi="Arial Narrow"/>
          <w:sz w:val="24"/>
          <w:szCs w:val="24"/>
          <w:lang w:val="es-CO"/>
        </w:rPr>
        <w:t>continuación,</w:t>
      </w:r>
      <w:r w:rsidR="00CD7F19">
        <w:rPr>
          <w:rFonts w:ascii="Arial Narrow" w:hAnsi="Arial Narrow"/>
          <w:sz w:val="24"/>
          <w:szCs w:val="24"/>
          <w:lang w:val="es-CO"/>
        </w:rPr>
        <w:t xml:space="preserve"> se presenta la evaluación, por categorías</w:t>
      </w:r>
      <w:r w:rsidR="00E07E91">
        <w:rPr>
          <w:rFonts w:ascii="Arial Narrow" w:hAnsi="Arial Narrow"/>
          <w:sz w:val="24"/>
          <w:szCs w:val="24"/>
          <w:lang w:val="es-CO"/>
        </w:rPr>
        <w:t>,</w:t>
      </w:r>
      <w:r w:rsidR="00CD7F19">
        <w:rPr>
          <w:rFonts w:ascii="Arial Narrow" w:hAnsi="Arial Narrow"/>
          <w:sz w:val="24"/>
          <w:szCs w:val="24"/>
          <w:lang w:val="es-CO"/>
        </w:rPr>
        <w:t xml:space="preserve"> de las observaciones y comentarios</w:t>
      </w:r>
      <w:r w:rsidR="00111AA8">
        <w:rPr>
          <w:rFonts w:ascii="Arial Narrow" w:hAnsi="Arial Narrow"/>
          <w:sz w:val="24"/>
          <w:szCs w:val="24"/>
          <w:lang w:val="es-CO"/>
        </w:rPr>
        <w:t xml:space="preserve"> formulados por </w:t>
      </w:r>
      <w:r w:rsidR="00CD7F19">
        <w:rPr>
          <w:rFonts w:ascii="Arial Narrow" w:hAnsi="Arial Narrow"/>
          <w:sz w:val="24"/>
          <w:szCs w:val="24"/>
          <w:lang w:val="es-CO"/>
        </w:rPr>
        <w:t xml:space="preserve">los actores externos durante el periodo de consulta pública de la propuesta normativa </w:t>
      </w:r>
      <w:r w:rsidR="00111AA8">
        <w:rPr>
          <w:rFonts w:ascii="Arial Narrow" w:hAnsi="Arial Narrow"/>
          <w:sz w:val="24"/>
          <w:szCs w:val="24"/>
          <w:lang w:val="es-CO"/>
        </w:rPr>
        <w:t xml:space="preserve">que modifica </w:t>
      </w:r>
      <w:r w:rsidR="00CD7F19">
        <w:rPr>
          <w:rFonts w:ascii="Arial Narrow" w:hAnsi="Arial Narrow"/>
          <w:sz w:val="24"/>
          <w:szCs w:val="24"/>
          <w:lang w:val="es-CO"/>
        </w:rPr>
        <w:t xml:space="preserve">la Resolución </w:t>
      </w:r>
      <w:r w:rsidR="00B713B8">
        <w:rPr>
          <w:rFonts w:ascii="Arial Narrow" w:hAnsi="Arial Narrow"/>
          <w:sz w:val="24"/>
          <w:szCs w:val="24"/>
          <w:lang w:val="es-CO"/>
        </w:rPr>
        <w:t>1402 de 2018</w:t>
      </w:r>
      <w:r w:rsidR="00CD7F19">
        <w:rPr>
          <w:rFonts w:ascii="Arial Narrow" w:hAnsi="Arial Narrow"/>
          <w:sz w:val="24"/>
          <w:szCs w:val="24"/>
          <w:lang w:val="es-CO"/>
        </w:rPr>
        <w:t>.</w:t>
      </w:r>
    </w:p>
    <w:p w14:paraId="78F686C0" w14:textId="249C7441" w:rsidR="003A5B18" w:rsidRDefault="003A5B18" w:rsidP="002E07DA">
      <w:pPr>
        <w:spacing w:after="0"/>
        <w:jc w:val="both"/>
        <w:rPr>
          <w:rFonts w:ascii="Arial Narrow" w:hAnsi="Arial Narrow"/>
          <w:sz w:val="24"/>
          <w:szCs w:val="24"/>
          <w:lang w:val="es-CO"/>
        </w:rPr>
      </w:pPr>
    </w:p>
    <w:p w14:paraId="2DF50E97" w14:textId="4D2E9F2A" w:rsidR="008C48CD" w:rsidRDefault="008C48CD" w:rsidP="008C48CD">
      <w:pPr>
        <w:jc w:val="both"/>
        <w:rPr>
          <w:rFonts w:ascii="Arial Narrow" w:hAnsi="Arial Narrow"/>
          <w:sz w:val="24"/>
          <w:szCs w:val="24"/>
          <w:lang w:val="es-CO"/>
        </w:rPr>
      </w:pPr>
      <w:r>
        <w:rPr>
          <w:rFonts w:ascii="Arial Narrow" w:hAnsi="Arial Narrow"/>
          <w:sz w:val="24"/>
          <w:szCs w:val="24"/>
          <w:lang w:val="es-CO"/>
        </w:rPr>
        <w:t xml:space="preserve">La propuesta normativa </w:t>
      </w:r>
      <w:r w:rsidR="00111AA8">
        <w:rPr>
          <w:rFonts w:ascii="Arial Narrow" w:hAnsi="Arial Narrow"/>
          <w:sz w:val="24"/>
          <w:szCs w:val="24"/>
          <w:lang w:val="es-CO"/>
        </w:rPr>
        <w:t xml:space="preserve">estuvo publicada para consulta y recepción de </w:t>
      </w:r>
      <w:r>
        <w:rPr>
          <w:rFonts w:ascii="Arial Narrow" w:hAnsi="Arial Narrow"/>
          <w:sz w:val="24"/>
          <w:szCs w:val="24"/>
          <w:lang w:val="es-CO"/>
        </w:rPr>
        <w:t xml:space="preserve">comentarios entre el </w:t>
      </w:r>
      <w:r w:rsidR="00090F48">
        <w:rPr>
          <w:rFonts w:ascii="Arial Narrow" w:hAnsi="Arial Narrow"/>
          <w:sz w:val="24"/>
          <w:szCs w:val="24"/>
          <w:lang w:val="es-CO"/>
        </w:rPr>
        <w:t xml:space="preserve">5 </w:t>
      </w:r>
      <w:r>
        <w:rPr>
          <w:rFonts w:ascii="Arial Narrow" w:hAnsi="Arial Narrow"/>
          <w:sz w:val="24"/>
          <w:szCs w:val="24"/>
          <w:lang w:val="es-CO"/>
        </w:rPr>
        <w:t xml:space="preserve">y </w:t>
      </w:r>
      <w:r w:rsidR="009763DE">
        <w:rPr>
          <w:rFonts w:ascii="Arial Narrow" w:hAnsi="Arial Narrow"/>
          <w:sz w:val="24"/>
          <w:szCs w:val="24"/>
          <w:lang w:val="es-CO"/>
        </w:rPr>
        <w:t>el 1</w:t>
      </w:r>
      <w:r w:rsidR="00090F48">
        <w:rPr>
          <w:rFonts w:ascii="Arial Narrow" w:hAnsi="Arial Narrow"/>
          <w:sz w:val="24"/>
          <w:szCs w:val="24"/>
          <w:lang w:val="es-CO"/>
        </w:rPr>
        <w:t>2</w:t>
      </w:r>
      <w:r w:rsidR="009763DE">
        <w:rPr>
          <w:rFonts w:ascii="Arial Narrow" w:hAnsi="Arial Narrow"/>
          <w:sz w:val="24"/>
          <w:szCs w:val="24"/>
          <w:lang w:val="es-CO"/>
        </w:rPr>
        <w:t xml:space="preserve"> </w:t>
      </w:r>
      <w:r>
        <w:rPr>
          <w:rFonts w:ascii="Arial Narrow" w:hAnsi="Arial Narrow"/>
          <w:sz w:val="24"/>
          <w:szCs w:val="24"/>
          <w:lang w:val="es-CO"/>
        </w:rPr>
        <w:t xml:space="preserve">de </w:t>
      </w:r>
      <w:r w:rsidR="00090F48">
        <w:rPr>
          <w:rFonts w:ascii="Arial Narrow" w:hAnsi="Arial Narrow"/>
          <w:sz w:val="24"/>
          <w:szCs w:val="24"/>
          <w:lang w:val="es-CO"/>
        </w:rPr>
        <w:t xml:space="preserve">junio </w:t>
      </w:r>
      <w:r>
        <w:rPr>
          <w:rFonts w:ascii="Arial Narrow" w:hAnsi="Arial Narrow"/>
          <w:sz w:val="24"/>
          <w:szCs w:val="24"/>
          <w:lang w:val="es-CO"/>
        </w:rPr>
        <w:t>de 202</w:t>
      </w:r>
      <w:r w:rsidR="00090F48">
        <w:rPr>
          <w:rFonts w:ascii="Arial Narrow" w:hAnsi="Arial Narrow"/>
          <w:sz w:val="24"/>
          <w:szCs w:val="24"/>
          <w:lang w:val="es-CO"/>
        </w:rPr>
        <w:t>6</w:t>
      </w:r>
      <w:r w:rsidR="00111AA8">
        <w:rPr>
          <w:rFonts w:ascii="Arial Narrow" w:hAnsi="Arial Narrow"/>
          <w:sz w:val="24"/>
          <w:szCs w:val="24"/>
          <w:lang w:val="es-CO"/>
        </w:rPr>
        <w:t>. C</w:t>
      </w:r>
      <w:r>
        <w:rPr>
          <w:rFonts w:ascii="Arial Narrow" w:hAnsi="Arial Narrow"/>
          <w:sz w:val="24"/>
          <w:szCs w:val="24"/>
          <w:lang w:val="es-CO"/>
        </w:rPr>
        <w:t>omo resultado</w:t>
      </w:r>
      <w:r w:rsidR="00111AA8">
        <w:rPr>
          <w:rFonts w:ascii="Arial Narrow" w:hAnsi="Arial Narrow"/>
          <w:sz w:val="24"/>
          <w:szCs w:val="24"/>
          <w:lang w:val="es-CO"/>
        </w:rPr>
        <w:t xml:space="preserve">, se recibieron </w:t>
      </w:r>
      <w:r w:rsidR="00647871">
        <w:rPr>
          <w:rFonts w:ascii="Arial Narrow" w:hAnsi="Arial Narrow"/>
          <w:sz w:val="24"/>
          <w:szCs w:val="24"/>
          <w:lang w:val="es-CO"/>
        </w:rPr>
        <w:t xml:space="preserve">70 </w:t>
      </w:r>
      <w:r w:rsidR="00962938">
        <w:rPr>
          <w:rFonts w:ascii="Arial Narrow" w:hAnsi="Arial Narrow"/>
          <w:sz w:val="24"/>
          <w:szCs w:val="24"/>
          <w:lang w:val="es-CO"/>
        </w:rPr>
        <w:t xml:space="preserve">comentarios </w:t>
      </w:r>
      <w:r w:rsidR="00127D87">
        <w:rPr>
          <w:rFonts w:ascii="Arial Narrow" w:hAnsi="Arial Narrow"/>
          <w:sz w:val="24"/>
          <w:szCs w:val="24"/>
          <w:lang w:val="es-CO"/>
        </w:rPr>
        <w:t>generales</w:t>
      </w:r>
      <w:r w:rsidR="003A60B2">
        <w:rPr>
          <w:rFonts w:ascii="Arial Narrow" w:hAnsi="Arial Narrow"/>
          <w:sz w:val="24"/>
          <w:szCs w:val="24"/>
          <w:lang w:val="es-CO"/>
        </w:rPr>
        <w:t xml:space="preserve"> </w:t>
      </w:r>
      <w:r w:rsidR="009763DE">
        <w:rPr>
          <w:rFonts w:ascii="Arial Narrow" w:hAnsi="Arial Narrow"/>
          <w:sz w:val="24"/>
          <w:szCs w:val="24"/>
          <w:lang w:val="es-CO"/>
        </w:rPr>
        <w:t xml:space="preserve">y </w:t>
      </w:r>
      <w:r w:rsidR="00647871">
        <w:rPr>
          <w:rFonts w:ascii="Arial Narrow" w:hAnsi="Arial Narrow"/>
          <w:sz w:val="24"/>
          <w:szCs w:val="24"/>
          <w:lang w:val="es-CO"/>
        </w:rPr>
        <w:t xml:space="preserve">1.332 </w:t>
      </w:r>
      <w:r w:rsidR="009763DE">
        <w:rPr>
          <w:rFonts w:ascii="Arial Narrow" w:hAnsi="Arial Narrow"/>
          <w:sz w:val="24"/>
          <w:szCs w:val="24"/>
          <w:lang w:val="es-CO"/>
        </w:rPr>
        <w:t xml:space="preserve">comentarios específicos </w:t>
      </w:r>
      <w:r w:rsidR="003A60B2">
        <w:rPr>
          <w:rFonts w:ascii="Arial Narrow" w:hAnsi="Arial Narrow"/>
          <w:sz w:val="24"/>
          <w:szCs w:val="24"/>
          <w:lang w:val="es-CO"/>
        </w:rPr>
        <w:t xml:space="preserve">para un total de </w:t>
      </w:r>
      <w:r w:rsidR="00647871">
        <w:rPr>
          <w:rFonts w:ascii="Arial Narrow" w:hAnsi="Arial Narrow"/>
          <w:sz w:val="24"/>
          <w:szCs w:val="24"/>
          <w:lang w:val="es-CO"/>
        </w:rPr>
        <w:t>1</w:t>
      </w:r>
      <w:r w:rsidR="00B713B8">
        <w:rPr>
          <w:rFonts w:ascii="Arial Narrow" w:hAnsi="Arial Narrow"/>
          <w:sz w:val="24"/>
          <w:szCs w:val="24"/>
          <w:lang w:val="es-CO"/>
        </w:rPr>
        <w:t>.</w:t>
      </w:r>
      <w:r w:rsidR="00647871">
        <w:rPr>
          <w:rFonts w:ascii="Arial Narrow" w:hAnsi="Arial Narrow"/>
          <w:sz w:val="24"/>
          <w:szCs w:val="24"/>
          <w:lang w:val="es-CO"/>
        </w:rPr>
        <w:t>402</w:t>
      </w:r>
      <w:r w:rsidR="003A60B2">
        <w:rPr>
          <w:rFonts w:ascii="Arial Narrow" w:hAnsi="Arial Narrow"/>
          <w:sz w:val="24"/>
          <w:szCs w:val="24"/>
          <w:lang w:val="es-CO"/>
        </w:rPr>
        <w:t xml:space="preserve"> comentarios,</w:t>
      </w:r>
      <w:r w:rsidR="00127D87">
        <w:rPr>
          <w:rFonts w:ascii="Arial Narrow" w:hAnsi="Arial Narrow"/>
          <w:sz w:val="24"/>
          <w:szCs w:val="24"/>
          <w:lang w:val="es-CO"/>
        </w:rPr>
        <w:t xml:space="preserve"> </w:t>
      </w:r>
      <w:r w:rsidR="00111AA8">
        <w:rPr>
          <w:rFonts w:ascii="Arial Narrow" w:hAnsi="Arial Narrow"/>
          <w:sz w:val="24"/>
          <w:szCs w:val="24"/>
          <w:lang w:val="es-CO"/>
        </w:rPr>
        <w:t>según</w:t>
      </w:r>
      <w:r w:rsidR="00127D87">
        <w:rPr>
          <w:rFonts w:ascii="Arial Narrow" w:hAnsi="Arial Narrow"/>
          <w:sz w:val="24"/>
          <w:szCs w:val="24"/>
          <w:lang w:val="es-CO"/>
        </w:rPr>
        <w:t xml:space="preserve"> consta en el formato F-M-INA-25 </w:t>
      </w:r>
      <w:r w:rsidR="00E3495B">
        <w:rPr>
          <w:rFonts w:ascii="Arial Narrow" w:hAnsi="Arial Narrow"/>
          <w:i/>
          <w:iCs/>
          <w:sz w:val="24"/>
          <w:szCs w:val="24"/>
          <w:lang w:val="es-CO"/>
        </w:rPr>
        <w:t>Publicidad e informe de observaciones y respuestas de los proyectos específicos de regulación</w:t>
      </w:r>
      <w:r w:rsidR="006F4B1F">
        <w:rPr>
          <w:rFonts w:ascii="Arial Narrow" w:hAnsi="Arial Narrow"/>
          <w:sz w:val="24"/>
          <w:szCs w:val="24"/>
          <w:lang w:val="es-CO"/>
        </w:rPr>
        <w:t xml:space="preserve">, que hace parte de los documentos del proceso para la </w:t>
      </w:r>
      <w:r w:rsidR="003D7A15">
        <w:rPr>
          <w:rFonts w:ascii="Arial Narrow" w:hAnsi="Arial Narrow"/>
          <w:sz w:val="24"/>
          <w:szCs w:val="24"/>
          <w:lang w:val="es-CO"/>
        </w:rPr>
        <w:t>elaboración de instrumentos normativos</w:t>
      </w:r>
      <w:r w:rsidR="006F4B1F">
        <w:rPr>
          <w:rFonts w:ascii="Arial Narrow" w:hAnsi="Arial Narrow"/>
          <w:sz w:val="24"/>
          <w:szCs w:val="24"/>
          <w:lang w:val="es-CO"/>
        </w:rPr>
        <w:t>.</w:t>
      </w:r>
    </w:p>
    <w:p w14:paraId="2C3A4440" w14:textId="0CC566A7" w:rsidR="00B713B8" w:rsidRDefault="00111AA8" w:rsidP="00B713B8">
      <w:pPr>
        <w:spacing w:after="0"/>
        <w:jc w:val="both"/>
        <w:rPr>
          <w:rFonts w:ascii="Arial Narrow" w:hAnsi="Arial Narrow"/>
          <w:sz w:val="24"/>
          <w:szCs w:val="24"/>
          <w:lang w:val="es-CO"/>
        </w:rPr>
      </w:pPr>
      <w:r w:rsidRPr="00111AA8">
        <w:rPr>
          <w:rFonts w:ascii="Arial Narrow" w:hAnsi="Arial Narrow"/>
          <w:sz w:val="24"/>
          <w:szCs w:val="24"/>
          <w:lang w:val="es-CO"/>
        </w:rPr>
        <w:t xml:space="preserve">Un total de </w:t>
      </w:r>
      <w:r w:rsidR="006802F1">
        <w:rPr>
          <w:rFonts w:ascii="Arial Narrow" w:hAnsi="Arial Narrow"/>
          <w:sz w:val="24"/>
          <w:szCs w:val="24"/>
          <w:lang w:val="es-CO"/>
        </w:rPr>
        <w:t>28</w:t>
      </w:r>
      <w:r w:rsidRPr="00111AA8">
        <w:rPr>
          <w:rFonts w:ascii="Arial Narrow" w:hAnsi="Arial Narrow"/>
          <w:sz w:val="24"/>
          <w:szCs w:val="24"/>
          <w:lang w:val="es-CO"/>
        </w:rPr>
        <w:t xml:space="preserve"> actores presentaron observaciones a la propuesta normativa, ellos</w:t>
      </w:r>
      <w:r w:rsidR="006802F1">
        <w:rPr>
          <w:rFonts w:ascii="Arial Narrow" w:hAnsi="Arial Narrow"/>
          <w:sz w:val="24"/>
          <w:szCs w:val="24"/>
          <w:lang w:val="es-CO"/>
        </w:rPr>
        <w:t xml:space="preserve"> fueron</w:t>
      </w:r>
      <w:r w:rsidRPr="00111AA8">
        <w:rPr>
          <w:rFonts w:ascii="Arial Narrow" w:hAnsi="Arial Narrow"/>
          <w:sz w:val="24"/>
          <w:szCs w:val="24"/>
          <w:lang w:val="es-CO"/>
        </w:rPr>
        <w:t>:</w:t>
      </w:r>
    </w:p>
    <w:p w14:paraId="2649DEB8" w14:textId="77777777" w:rsidR="00111AA8" w:rsidRDefault="00111AA8" w:rsidP="00B713B8">
      <w:pPr>
        <w:spacing w:after="0"/>
        <w:jc w:val="both"/>
        <w:rPr>
          <w:rFonts w:ascii="Arial Narrow" w:hAnsi="Arial Narrow"/>
          <w:sz w:val="24"/>
          <w:szCs w:val="24"/>
          <w:lang w:val="es-CO"/>
        </w:rPr>
      </w:pPr>
    </w:p>
    <w:p w14:paraId="084A1A46"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1</w:t>
      </w:r>
      <w:r w:rsidRPr="000C7535">
        <w:rPr>
          <w:rFonts w:ascii="Arial Narrow" w:hAnsi="Arial Narrow"/>
          <w:sz w:val="24"/>
          <w:szCs w:val="24"/>
          <w:lang w:val="es-MX"/>
        </w:rPr>
        <w:tab/>
        <w:t>MyL Consultores ambientales SAS</w:t>
      </w:r>
    </w:p>
    <w:p w14:paraId="1DDE9951"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2</w:t>
      </w:r>
      <w:r w:rsidRPr="000C7535">
        <w:rPr>
          <w:rFonts w:ascii="Arial Narrow" w:hAnsi="Arial Narrow"/>
          <w:sz w:val="24"/>
          <w:szCs w:val="24"/>
          <w:lang w:val="es-MX"/>
        </w:rPr>
        <w:tab/>
        <w:t>Jorge Eduardo Gualdrón Duarte</w:t>
      </w:r>
    </w:p>
    <w:p w14:paraId="7FAC8081"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3</w:t>
      </w:r>
      <w:r w:rsidRPr="000C7535">
        <w:rPr>
          <w:rFonts w:ascii="Arial Narrow" w:hAnsi="Arial Narrow"/>
          <w:sz w:val="24"/>
          <w:szCs w:val="24"/>
          <w:lang w:val="es-MX"/>
        </w:rPr>
        <w:tab/>
        <w:t>ILEX Acción Jurídica</w:t>
      </w:r>
    </w:p>
    <w:p w14:paraId="17CACB07"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4</w:t>
      </w:r>
      <w:r w:rsidRPr="000C7535">
        <w:rPr>
          <w:rFonts w:ascii="Arial Narrow" w:hAnsi="Arial Narrow"/>
          <w:sz w:val="24"/>
          <w:szCs w:val="24"/>
          <w:lang w:val="es-MX"/>
        </w:rPr>
        <w:tab/>
        <w:t>OSC Polen Transiciones Justas</w:t>
      </w:r>
    </w:p>
    <w:p w14:paraId="59DB9040"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5</w:t>
      </w:r>
      <w:r w:rsidRPr="000C7535">
        <w:rPr>
          <w:rFonts w:ascii="Arial Narrow" w:hAnsi="Arial Narrow"/>
          <w:sz w:val="24"/>
          <w:szCs w:val="24"/>
          <w:lang w:val="es-MX"/>
        </w:rPr>
        <w:tab/>
        <w:t>Ariel Murcia</w:t>
      </w:r>
    </w:p>
    <w:p w14:paraId="5739D6BE"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6</w:t>
      </w:r>
      <w:r w:rsidRPr="000C7535">
        <w:rPr>
          <w:rFonts w:ascii="Arial Narrow" w:hAnsi="Arial Narrow"/>
          <w:sz w:val="24"/>
          <w:szCs w:val="24"/>
          <w:lang w:val="es-MX"/>
        </w:rPr>
        <w:tab/>
        <w:t>Biota Global SAS</w:t>
      </w:r>
    </w:p>
    <w:p w14:paraId="60F01BA7"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7</w:t>
      </w:r>
      <w:r w:rsidRPr="000C7535">
        <w:rPr>
          <w:rFonts w:ascii="Arial Narrow" w:hAnsi="Arial Narrow"/>
          <w:sz w:val="24"/>
          <w:szCs w:val="24"/>
          <w:lang w:val="es-MX"/>
        </w:rPr>
        <w:tab/>
        <w:t>Inerco Consultoría Colombia</w:t>
      </w:r>
    </w:p>
    <w:p w14:paraId="7661AD55"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8</w:t>
      </w:r>
      <w:r w:rsidRPr="000C7535">
        <w:rPr>
          <w:rFonts w:ascii="Arial Narrow" w:hAnsi="Arial Narrow"/>
          <w:sz w:val="24"/>
          <w:szCs w:val="24"/>
          <w:lang w:val="es-MX"/>
        </w:rPr>
        <w:tab/>
        <w:t>Corporación Autónoma Regional de las Cuencas de los Ríos Negro y Nare "Cornare"</w:t>
      </w:r>
    </w:p>
    <w:p w14:paraId="1C4383A7"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9</w:t>
      </w:r>
      <w:r w:rsidRPr="000C7535">
        <w:rPr>
          <w:rFonts w:ascii="Arial Narrow" w:hAnsi="Arial Narrow"/>
          <w:sz w:val="24"/>
          <w:szCs w:val="24"/>
          <w:lang w:val="es-MX"/>
        </w:rPr>
        <w:tab/>
        <w:t>Asociación Nacional de Empresas de Servicios Públicos y Comunicaciones-ANDESCO</w:t>
      </w:r>
    </w:p>
    <w:p w14:paraId="651E5530"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10</w:t>
      </w:r>
      <w:r w:rsidRPr="000C7535">
        <w:rPr>
          <w:rFonts w:ascii="Arial Narrow" w:hAnsi="Arial Narrow"/>
          <w:sz w:val="24"/>
          <w:szCs w:val="24"/>
          <w:lang w:val="es-MX"/>
        </w:rPr>
        <w:tab/>
        <w:t>Asociación Nacional de Empresas Generadoras-ANDEG</w:t>
      </w:r>
    </w:p>
    <w:p w14:paraId="57B70321"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11</w:t>
      </w:r>
      <w:r w:rsidRPr="000C7535">
        <w:rPr>
          <w:rFonts w:ascii="Arial Narrow" w:hAnsi="Arial Narrow"/>
          <w:sz w:val="24"/>
          <w:szCs w:val="24"/>
          <w:lang w:val="es-MX"/>
        </w:rPr>
        <w:tab/>
        <w:t>Integral S.A.</w:t>
      </w:r>
    </w:p>
    <w:p w14:paraId="22FFEA06"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12</w:t>
      </w:r>
      <w:r w:rsidRPr="000C7535">
        <w:rPr>
          <w:rFonts w:ascii="Arial Narrow" w:hAnsi="Arial Narrow"/>
          <w:sz w:val="24"/>
          <w:szCs w:val="24"/>
          <w:lang w:val="es-MX"/>
        </w:rPr>
        <w:tab/>
        <w:t>Centro de Empresas y Derechos Humanos (CIEDH)</w:t>
      </w:r>
    </w:p>
    <w:p w14:paraId="4EC1A446"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13</w:t>
      </w:r>
      <w:r w:rsidRPr="000C7535">
        <w:rPr>
          <w:rFonts w:ascii="Arial Narrow" w:hAnsi="Arial Narrow"/>
          <w:sz w:val="24"/>
          <w:szCs w:val="24"/>
          <w:lang w:val="es-MX"/>
        </w:rPr>
        <w:tab/>
        <w:t xml:space="preserve">Acolgen </w:t>
      </w:r>
    </w:p>
    <w:p w14:paraId="75C7DED4"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14</w:t>
      </w:r>
      <w:r w:rsidRPr="000C7535">
        <w:rPr>
          <w:rFonts w:ascii="Arial Narrow" w:hAnsi="Arial Narrow"/>
          <w:sz w:val="24"/>
          <w:szCs w:val="24"/>
          <w:lang w:val="es-MX"/>
        </w:rPr>
        <w:tab/>
        <w:t>Ecopetrol S.A.</w:t>
      </w:r>
    </w:p>
    <w:p w14:paraId="0FBC5D36"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15</w:t>
      </w:r>
      <w:r w:rsidRPr="000C7535">
        <w:rPr>
          <w:rFonts w:ascii="Arial Narrow" w:hAnsi="Arial Narrow"/>
          <w:sz w:val="24"/>
          <w:szCs w:val="24"/>
          <w:lang w:val="es-MX"/>
        </w:rPr>
        <w:tab/>
        <w:t>Cámara Colombiana de la Construcción - Camacol</w:t>
      </w:r>
    </w:p>
    <w:p w14:paraId="48508D33"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16</w:t>
      </w:r>
      <w:r w:rsidRPr="000C7535">
        <w:rPr>
          <w:rFonts w:ascii="Arial Narrow" w:hAnsi="Arial Narrow"/>
          <w:sz w:val="24"/>
          <w:szCs w:val="24"/>
          <w:lang w:val="es-MX"/>
        </w:rPr>
        <w:tab/>
        <w:t>Minera de Cobre Quebradona</w:t>
      </w:r>
    </w:p>
    <w:p w14:paraId="5545BA4A"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17</w:t>
      </w:r>
      <w:r w:rsidRPr="000C7535">
        <w:rPr>
          <w:rFonts w:ascii="Arial Narrow" w:hAnsi="Arial Narrow"/>
          <w:sz w:val="24"/>
          <w:szCs w:val="24"/>
          <w:lang w:val="es-MX"/>
        </w:rPr>
        <w:tab/>
        <w:t>Secretaría de bienestar verde - Gobernación de Cundinamarca</w:t>
      </w:r>
    </w:p>
    <w:p w14:paraId="6F087DC6"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18</w:t>
      </w:r>
      <w:r w:rsidRPr="000C7535">
        <w:rPr>
          <w:rFonts w:ascii="Arial Narrow" w:hAnsi="Arial Narrow"/>
          <w:sz w:val="24"/>
          <w:szCs w:val="24"/>
          <w:lang w:val="es-MX"/>
        </w:rPr>
        <w:tab/>
        <w:t>Cristian Camilo Cartagena Ospina</w:t>
      </w:r>
    </w:p>
    <w:p w14:paraId="33CE0D6A"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19</w:t>
      </w:r>
      <w:r w:rsidRPr="000C7535">
        <w:rPr>
          <w:rFonts w:ascii="Arial Narrow" w:hAnsi="Arial Narrow"/>
          <w:sz w:val="24"/>
          <w:szCs w:val="24"/>
          <w:lang w:val="es-MX"/>
        </w:rPr>
        <w:tab/>
        <w:t>Cenit transporte y logistica de hidrocarburos</w:t>
      </w:r>
    </w:p>
    <w:p w14:paraId="02E57859"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20</w:t>
      </w:r>
      <w:r w:rsidRPr="000C7535">
        <w:rPr>
          <w:rFonts w:ascii="Arial Narrow" w:hAnsi="Arial Narrow"/>
          <w:sz w:val="24"/>
          <w:szCs w:val="24"/>
          <w:lang w:val="es-MX"/>
        </w:rPr>
        <w:tab/>
        <w:t>Dejusticia - Centro de Estudios de Derecho, Justicia y Sociedad</w:t>
      </w:r>
    </w:p>
    <w:p w14:paraId="3846A3D5"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21</w:t>
      </w:r>
      <w:r w:rsidRPr="000C7535">
        <w:rPr>
          <w:rFonts w:ascii="Arial Narrow" w:hAnsi="Arial Narrow"/>
          <w:sz w:val="24"/>
          <w:szCs w:val="24"/>
          <w:lang w:val="es-MX"/>
        </w:rPr>
        <w:tab/>
        <w:t>Veolia Colombia</w:t>
      </w:r>
    </w:p>
    <w:p w14:paraId="0907F063"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22</w:t>
      </w:r>
      <w:r w:rsidRPr="000C7535">
        <w:rPr>
          <w:rFonts w:ascii="Arial Narrow" w:hAnsi="Arial Narrow"/>
          <w:sz w:val="24"/>
          <w:szCs w:val="24"/>
          <w:lang w:val="es-MX"/>
        </w:rPr>
        <w:tab/>
        <w:t>Aquabiósfera S.A.S. B.I.C.</w:t>
      </w:r>
    </w:p>
    <w:p w14:paraId="109DAD75"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23</w:t>
      </w:r>
      <w:r w:rsidRPr="000C7535">
        <w:rPr>
          <w:rFonts w:ascii="Arial Narrow" w:hAnsi="Arial Narrow"/>
          <w:sz w:val="24"/>
          <w:szCs w:val="24"/>
          <w:lang w:val="es-MX"/>
        </w:rPr>
        <w:tab/>
        <w:t>Asociación Colombiana del Petróleo y Gas -ACP</w:t>
      </w:r>
    </w:p>
    <w:p w14:paraId="0C140A6B"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24</w:t>
      </w:r>
      <w:r w:rsidRPr="000C7535">
        <w:rPr>
          <w:rFonts w:ascii="Arial Narrow" w:hAnsi="Arial Narrow"/>
          <w:sz w:val="24"/>
          <w:szCs w:val="24"/>
          <w:lang w:val="es-MX"/>
        </w:rPr>
        <w:tab/>
        <w:t>Asociación Nacional de Empresarios de Colombia - ANDI-</w:t>
      </w:r>
    </w:p>
    <w:p w14:paraId="77E06516"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25</w:t>
      </w:r>
      <w:r w:rsidRPr="000C7535">
        <w:rPr>
          <w:rFonts w:ascii="Arial Narrow" w:hAnsi="Arial Narrow"/>
          <w:sz w:val="24"/>
          <w:szCs w:val="24"/>
          <w:lang w:val="es-MX"/>
        </w:rPr>
        <w:tab/>
        <w:t>Ser Colombia</w:t>
      </w:r>
    </w:p>
    <w:p w14:paraId="7693025D"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lastRenderedPageBreak/>
        <w:t>26</w:t>
      </w:r>
      <w:r w:rsidRPr="000C7535">
        <w:rPr>
          <w:rFonts w:ascii="Arial Narrow" w:hAnsi="Arial Narrow"/>
          <w:sz w:val="24"/>
          <w:szCs w:val="24"/>
          <w:lang w:val="es-MX"/>
        </w:rPr>
        <w:tab/>
        <w:t>Asociación Colombiana de Minería -ACM</w:t>
      </w:r>
    </w:p>
    <w:p w14:paraId="00CE8FEB" w14:textId="77777777"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27</w:t>
      </w:r>
      <w:r w:rsidRPr="000C7535">
        <w:rPr>
          <w:rFonts w:ascii="Arial Narrow" w:hAnsi="Arial Narrow"/>
          <w:sz w:val="24"/>
          <w:szCs w:val="24"/>
          <w:lang w:val="es-MX"/>
        </w:rPr>
        <w:tab/>
        <w:t>Danys Ortiz Olarte</w:t>
      </w:r>
    </w:p>
    <w:p w14:paraId="44ED7E55" w14:textId="0F73CDAA" w:rsidR="000C7535" w:rsidRPr="000C7535" w:rsidRDefault="000C7535" w:rsidP="000C7535">
      <w:pPr>
        <w:spacing w:after="0"/>
        <w:jc w:val="both"/>
        <w:rPr>
          <w:rFonts w:ascii="Arial Narrow" w:hAnsi="Arial Narrow"/>
          <w:sz w:val="24"/>
          <w:szCs w:val="24"/>
          <w:lang w:val="es-MX"/>
        </w:rPr>
      </w:pPr>
      <w:r w:rsidRPr="000C7535">
        <w:rPr>
          <w:rFonts w:ascii="Arial Narrow" w:hAnsi="Arial Narrow"/>
          <w:sz w:val="24"/>
          <w:szCs w:val="24"/>
          <w:lang w:val="es-MX"/>
        </w:rPr>
        <w:t>28</w:t>
      </w:r>
      <w:r w:rsidRPr="000C7535">
        <w:rPr>
          <w:rFonts w:ascii="Arial Narrow" w:hAnsi="Arial Narrow"/>
          <w:sz w:val="24"/>
          <w:szCs w:val="24"/>
          <w:lang w:val="es-MX"/>
        </w:rPr>
        <w:tab/>
        <w:t>Asociación Interamericana para la Defensa del Ambiente - AIDA</w:t>
      </w:r>
    </w:p>
    <w:p w14:paraId="59C1F55F" w14:textId="77777777" w:rsidR="004151DD" w:rsidRDefault="004151DD" w:rsidP="00847B9F">
      <w:pPr>
        <w:spacing w:after="0"/>
        <w:jc w:val="both"/>
        <w:rPr>
          <w:rFonts w:ascii="Arial Narrow" w:hAnsi="Arial Narrow"/>
          <w:sz w:val="24"/>
          <w:szCs w:val="24"/>
          <w:lang w:val="es-CO"/>
        </w:rPr>
      </w:pPr>
    </w:p>
    <w:p w14:paraId="25FE5196" w14:textId="2CC24692" w:rsidR="00962938" w:rsidRDefault="00040539" w:rsidP="00847B9F">
      <w:pPr>
        <w:spacing w:after="0"/>
        <w:jc w:val="both"/>
        <w:rPr>
          <w:rFonts w:ascii="Arial Narrow" w:hAnsi="Arial Narrow"/>
          <w:sz w:val="24"/>
          <w:szCs w:val="24"/>
          <w:lang w:val="es-CO"/>
        </w:rPr>
      </w:pPr>
      <w:r w:rsidRPr="005D47F6">
        <w:rPr>
          <w:rFonts w:ascii="Arial Narrow" w:hAnsi="Arial Narrow"/>
          <w:sz w:val="24"/>
          <w:szCs w:val="24"/>
          <w:lang w:val="es-CO"/>
        </w:rPr>
        <w:t>Como resultado de los comentarios se realizaron ajustes en la propuesta normativa</w:t>
      </w:r>
      <w:r w:rsidR="00962938" w:rsidRPr="005D47F6">
        <w:rPr>
          <w:rFonts w:ascii="Arial Narrow" w:hAnsi="Arial Narrow"/>
          <w:sz w:val="24"/>
          <w:szCs w:val="24"/>
          <w:lang w:val="es-CO"/>
        </w:rPr>
        <w:t xml:space="preserve">, </w:t>
      </w:r>
      <w:r w:rsidR="007B085D" w:rsidRPr="005D47F6">
        <w:rPr>
          <w:rFonts w:ascii="Arial Narrow" w:hAnsi="Arial Narrow"/>
          <w:sz w:val="24"/>
          <w:szCs w:val="24"/>
          <w:lang w:val="es-CO"/>
        </w:rPr>
        <w:t xml:space="preserve">los cuales </w:t>
      </w:r>
      <w:r w:rsidR="009E1F57" w:rsidRPr="005D47F6">
        <w:rPr>
          <w:rFonts w:ascii="Arial Narrow" w:hAnsi="Arial Narrow"/>
          <w:sz w:val="24"/>
          <w:szCs w:val="24"/>
          <w:lang w:val="es-CO"/>
        </w:rPr>
        <w:t xml:space="preserve">se resumen de la siguiente forma: </w:t>
      </w:r>
      <w:r w:rsidR="00AE00D6" w:rsidRPr="005D47F6">
        <w:rPr>
          <w:rFonts w:ascii="Arial Narrow" w:hAnsi="Arial Narrow"/>
          <w:sz w:val="24"/>
          <w:szCs w:val="24"/>
          <w:lang w:val="es-CO"/>
        </w:rPr>
        <w:t>1) formulación de aclaraciones</w:t>
      </w:r>
      <w:r w:rsidR="00DC61F6" w:rsidRPr="005D47F6">
        <w:rPr>
          <w:rFonts w:ascii="Arial Narrow" w:hAnsi="Arial Narrow"/>
          <w:sz w:val="24"/>
          <w:szCs w:val="24"/>
          <w:lang w:val="es-CO"/>
        </w:rPr>
        <w:t xml:space="preserve"> y </w:t>
      </w:r>
      <w:r w:rsidR="00AE00D6" w:rsidRPr="005D47F6">
        <w:rPr>
          <w:rFonts w:ascii="Arial Narrow" w:hAnsi="Arial Narrow"/>
          <w:sz w:val="24"/>
          <w:szCs w:val="24"/>
          <w:lang w:val="es-CO"/>
        </w:rPr>
        <w:t>lineamientos más específic</w:t>
      </w:r>
      <w:r w:rsidR="00DC61F6" w:rsidRPr="005D47F6">
        <w:rPr>
          <w:rFonts w:ascii="Arial Narrow" w:hAnsi="Arial Narrow"/>
          <w:sz w:val="24"/>
          <w:szCs w:val="24"/>
          <w:lang w:val="es-CO"/>
        </w:rPr>
        <w:t>o</w:t>
      </w:r>
      <w:r w:rsidR="00AE00D6" w:rsidRPr="005D47F6">
        <w:rPr>
          <w:rFonts w:ascii="Arial Narrow" w:hAnsi="Arial Narrow"/>
          <w:sz w:val="24"/>
          <w:szCs w:val="24"/>
          <w:lang w:val="es-CO"/>
        </w:rPr>
        <w:t xml:space="preserve">s en los numerales de glosario y consideraciones generales para la elaboración de estudios ambientales; 2)  </w:t>
      </w:r>
      <w:r w:rsidR="00945344">
        <w:rPr>
          <w:rFonts w:ascii="Arial Narrow" w:hAnsi="Arial Narrow"/>
          <w:sz w:val="24"/>
          <w:szCs w:val="24"/>
          <w:lang w:val="es-CO"/>
        </w:rPr>
        <w:t xml:space="preserve">aclaración en algunos de </w:t>
      </w:r>
      <w:r w:rsidR="00AE00D6" w:rsidRPr="005D47F6">
        <w:rPr>
          <w:rFonts w:ascii="Arial Narrow" w:hAnsi="Arial Narrow"/>
          <w:sz w:val="24"/>
          <w:szCs w:val="24"/>
          <w:lang w:val="es-CO"/>
        </w:rPr>
        <w:t xml:space="preserve">los lineamientos sobre participación; </w:t>
      </w:r>
      <w:r w:rsidR="00945344">
        <w:rPr>
          <w:rFonts w:ascii="Arial Narrow" w:hAnsi="Arial Narrow"/>
          <w:sz w:val="24"/>
          <w:szCs w:val="24"/>
          <w:lang w:val="es-CO"/>
        </w:rPr>
        <w:t>3</w:t>
      </w:r>
      <w:r w:rsidR="00DC61F6" w:rsidRPr="005D47F6">
        <w:rPr>
          <w:rFonts w:ascii="Arial Narrow" w:hAnsi="Arial Narrow"/>
          <w:sz w:val="24"/>
          <w:szCs w:val="24"/>
          <w:lang w:val="es-CO"/>
        </w:rPr>
        <w:t xml:space="preserve">) </w:t>
      </w:r>
      <w:r w:rsidR="003660BF">
        <w:rPr>
          <w:rFonts w:ascii="Arial Narrow" w:hAnsi="Arial Narrow"/>
          <w:sz w:val="24"/>
          <w:szCs w:val="24"/>
          <w:lang w:val="es-CO"/>
        </w:rPr>
        <w:t xml:space="preserve">ajuste </w:t>
      </w:r>
      <w:r w:rsidR="0003277C" w:rsidRPr="005D47F6">
        <w:rPr>
          <w:rFonts w:ascii="Arial Narrow" w:hAnsi="Arial Narrow"/>
          <w:sz w:val="24"/>
          <w:szCs w:val="24"/>
          <w:lang w:val="es-CO"/>
        </w:rPr>
        <w:t xml:space="preserve">de </w:t>
      </w:r>
      <w:r w:rsidR="003660BF">
        <w:rPr>
          <w:rFonts w:ascii="Arial Narrow" w:hAnsi="Arial Narrow"/>
          <w:sz w:val="24"/>
          <w:szCs w:val="24"/>
          <w:lang w:val="es-CO"/>
        </w:rPr>
        <w:t xml:space="preserve">algunas </w:t>
      </w:r>
      <w:r w:rsidR="0003277C" w:rsidRPr="005D47F6">
        <w:rPr>
          <w:rFonts w:ascii="Arial Narrow" w:hAnsi="Arial Narrow"/>
          <w:sz w:val="24"/>
          <w:szCs w:val="24"/>
          <w:lang w:val="es-CO"/>
        </w:rPr>
        <w:t xml:space="preserve">orientaciones para aplicar el enfoque de derechos </w:t>
      </w:r>
      <w:r w:rsidR="00DC61F6" w:rsidRPr="005D47F6">
        <w:rPr>
          <w:rFonts w:ascii="Arial Narrow" w:hAnsi="Arial Narrow"/>
          <w:sz w:val="24"/>
          <w:szCs w:val="24"/>
          <w:lang w:val="es-CO"/>
        </w:rPr>
        <w:t>humanos</w:t>
      </w:r>
      <w:r w:rsidR="0003277C" w:rsidRPr="005D47F6">
        <w:rPr>
          <w:rFonts w:ascii="Arial Narrow" w:hAnsi="Arial Narrow"/>
          <w:sz w:val="24"/>
          <w:szCs w:val="24"/>
          <w:lang w:val="es-CO"/>
        </w:rPr>
        <w:t xml:space="preserve"> en la elaboración de estudios ambientales</w:t>
      </w:r>
      <w:r w:rsidR="003859E0">
        <w:rPr>
          <w:rFonts w:ascii="Arial Narrow" w:hAnsi="Arial Narrow"/>
          <w:sz w:val="24"/>
          <w:szCs w:val="24"/>
          <w:lang w:val="es-CO"/>
        </w:rPr>
        <w:t>;</w:t>
      </w:r>
      <w:r w:rsidR="00DC61F6" w:rsidRPr="005D47F6">
        <w:rPr>
          <w:rFonts w:ascii="Arial Narrow" w:hAnsi="Arial Narrow"/>
          <w:sz w:val="24"/>
          <w:szCs w:val="24"/>
          <w:lang w:val="es-CO"/>
        </w:rPr>
        <w:t xml:space="preserve"> </w:t>
      </w:r>
      <w:r w:rsidR="003660BF">
        <w:rPr>
          <w:rFonts w:ascii="Arial Narrow" w:hAnsi="Arial Narrow"/>
          <w:sz w:val="24"/>
          <w:szCs w:val="24"/>
          <w:lang w:val="es-CO"/>
        </w:rPr>
        <w:t>4</w:t>
      </w:r>
      <w:r w:rsidR="00AE00D6" w:rsidRPr="005D47F6">
        <w:rPr>
          <w:rFonts w:ascii="Arial Narrow" w:hAnsi="Arial Narrow"/>
          <w:sz w:val="24"/>
          <w:szCs w:val="24"/>
          <w:lang w:val="es-CO"/>
        </w:rPr>
        <w:t xml:space="preserve">) </w:t>
      </w:r>
      <w:r w:rsidR="00BB1CF6">
        <w:rPr>
          <w:rFonts w:ascii="Arial Narrow" w:hAnsi="Arial Narrow"/>
          <w:sz w:val="24"/>
          <w:szCs w:val="24"/>
          <w:lang w:val="es-CO"/>
        </w:rPr>
        <w:t xml:space="preserve">puntualización de orientaciones </w:t>
      </w:r>
      <w:r w:rsidR="00AE00D6" w:rsidRPr="005D47F6">
        <w:rPr>
          <w:rFonts w:ascii="Arial Narrow" w:hAnsi="Arial Narrow"/>
          <w:sz w:val="24"/>
          <w:szCs w:val="24"/>
          <w:lang w:val="es-CO"/>
        </w:rPr>
        <w:t xml:space="preserve">para </w:t>
      </w:r>
      <w:r w:rsidR="00962938" w:rsidRPr="005D47F6">
        <w:rPr>
          <w:rFonts w:ascii="Arial Narrow" w:hAnsi="Arial Narrow"/>
          <w:sz w:val="24"/>
          <w:szCs w:val="24"/>
          <w:lang w:val="es-CO"/>
        </w:rPr>
        <w:t>la caracterización ambiental (tanto del DAA como del EIA)</w:t>
      </w:r>
      <w:r w:rsidR="003859E0">
        <w:rPr>
          <w:rFonts w:ascii="Arial Narrow" w:hAnsi="Arial Narrow"/>
          <w:sz w:val="24"/>
          <w:szCs w:val="24"/>
          <w:lang w:val="es-CO"/>
        </w:rPr>
        <w:t>;</w:t>
      </w:r>
      <w:r w:rsidR="00962938" w:rsidRPr="005D47F6">
        <w:rPr>
          <w:rFonts w:ascii="Arial Narrow" w:hAnsi="Arial Narrow"/>
          <w:sz w:val="24"/>
          <w:szCs w:val="24"/>
          <w:lang w:val="es-CO"/>
        </w:rPr>
        <w:t xml:space="preserve"> </w:t>
      </w:r>
      <w:r w:rsidR="00B371E1">
        <w:rPr>
          <w:rFonts w:ascii="Arial Narrow" w:hAnsi="Arial Narrow"/>
          <w:sz w:val="24"/>
          <w:szCs w:val="24"/>
          <w:lang w:val="es-CO"/>
        </w:rPr>
        <w:t>5</w:t>
      </w:r>
      <w:r w:rsidR="009E1F57" w:rsidRPr="005D47F6">
        <w:rPr>
          <w:rFonts w:ascii="Arial Narrow" w:hAnsi="Arial Narrow"/>
          <w:sz w:val="24"/>
          <w:szCs w:val="24"/>
          <w:lang w:val="es-CO"/>
        </w:rPr>
        <w:t xml:space="preserve">) </w:t>
      </w:r>
      <w:r w:rsidR="003859E0">
        <w:rPr>
          <w:rFonts w:ascii="Arial Narrow" w:hAnsi="Arial Narrow"/>
          <w:sz w:val="24"/>
          <w:szCs w:val="24"/>
          <w:lang w:val="es-CO"/>
        </w:rPr>
        <w:t xml:space="preserve">reorganización de indicaciones sobre </w:t>
      </w:r>
      <w:r w:rsidR="00962938" w:rsidRPr="005D47F6">
        <w:rPr>
          <w:rFonts w:ascii="Arial Narrow" w:hAnsi="Arial Narrow"/>
          <w:sz w:val="24"/>
          <w:szCs w:val="24"/>
          <w:lang w:val="es-CO"/>
        </w:rPr>
        <w:t xml:space="preserve">evaluación ambiental </w:t>
      </w:r>
      <w:r w:rsidR="003859E0">
        <w:rPr>
          <w:rFonts w:ascii="Arial Narrow" w:hAnsi="Arial Narrow"/>
          <w:sz w:val="24"/>
          <w:szCs w:val="24"/>
          <w:lang w:val="es-CO"/>
        </w:rPr>
        <w:t xml:space="preserve">e incorporación de aclaraciones </w:t>
      </w:r>
      <w:r w:rsidR="009E1F57" w:rsidRPr="005D47F6">
        <w:rPr>
          <w:rFonts w:ascii="Arial Narrow" w:hAnsi="Arial Narrow"/>
          <w:sz w:val="24"/>
          <w:szCs w:val="24"/>
          <w:lang w:val="es-CO"/>
        </w:rPr>
        <w:t xml:space="preserve">en </w:t>
      </w:r>
      <w:r w:rsidR="00962938" w:rsidRPr="005D47F6">
        <w:rPr>
          <w:rFonts w:ascii="Arial Narrow" w:hAnsi="Arial Narrow"/>
          <w:sz w:val="24"/>
          <w:szCs w:val="24"/>
          <w:lang w:val="es-CO"/>
        </w:rPr>
        <w:t xml:space="preserve">la evaluación económica ambiental; </w:t>
      </w:r>
      <w:r w:rsidR="00142A47" w:rsidRPr="005D47F6">
        <w:rPr>
          <w:rFonts w:ascii="Arial Narrow" w:hAnsi="Arial Narrow"/>
          <w:sz w:val="24"/>
          <w:szCs w:val="24"/>
          <w:lang w:val="es-CO"/>
        </w:rPr>
        <w:t xml:space="preserve">y </w:t>
      </w:r>
      <w:r w:rsidR="003859E0">
        <w:rPr>
          <w:rFonts w:ascii="Arial Narrow" w:hAnsi="Arial Narrow"/>
          <w:sz w:val="24"/>
          <w:szCs w:val="24"/>
          <w:lang w:val="es-CO"/>
        </w:rPr>
        <w:t>6</w:t>
      </w:r>
      <w:r w:rsidR="009E1F57" w:rsidRPr="005D47F6">
        <w:rPr>
          <w:rFonts w:ascii="Arial Narrow" w:hAnsi="Arial Narrow"/>
          <w:sz w:val="24"/>
          <w:szCs w:val="24"/>
          <w:lang w:val="es-CO"/>
        </w:rPr>
        <w:t>)</w:t>
      </w:r>
      <w:r w:rsidR="0002368D" w:rsidRPr="005D47F6">
        <w:rPr>
          <w:rFonts w:ascii="Arial Narrow" w:hAnsi="Arial Narrow"/>
          <w:sz w:val="24"/>
          <w:szCs w:val="24"/>
          <w:lang w:val="es-CO"/>
        </w:rPr>
        <w:t xml:space="preserve"> </w:t>
      </w:r>
      <w:r w:rsidR="009E1F57" w:rsidRPr="005D47F6">
        <w:rPr>
          <w:rFonts w:ascii="Arial Narrow" w:hAnsi="Arial Narrow"/>
          <w:sz w:val="24"/>
          <w:szCs w:val="24"/>
          <w:lang w:val="es-CO"/>
        </w:rPr>
        <w:t xml:space="preserve">mejora </w:t>
      </w:r>
      <w:r w:rsidR="00474804">
        <w:rPr>
          <w:rFonts w:ascii="Arial Narrow" w:hAnsi="Arial Narrow"/>
          <w:sz w:val="24"/>
          <w:szCs w:val="24"/>
          <w:lang w:val="es-CO"/>
        </w:rPr>
        <w:t xml:space="preserve">puntual de </w:t>
      </w:r>
      <w:r w:rsidR="009E1F57" w:rsidRPr="005D47F6">
        <w:rPr>
          <w:rFonts w:ascii="Arial Narrow" w:hAnsi="Arial Narrow"/>
          <w:sz w:val="24"/>
          <w:szCs w:val="24"/>
          <w:lang w:val="es-CO"/>
        </w:rPr>
        <w:t>lineamientos de</w:t>
      </w:r>
      <w:r w:rsidR="00962938" w:rsidRPr="005D47F6">
        <w:rPr>
          <w:rFonts w:ascii="Arial Narrow" w:hAnsi="Arial Narrow"/>
          <w:sz w:val="24"/>
          <w:szCs w:val="24"/>
          <w:lang w:val="es-CO"/>
        </w:rPr>
        <w:t xml:space="preserve"> los numerales plan de manejo ambiental, plan de seguimiento y monitoreo</w:t>
      </w:r>
      <w:r w:rsidR="00142A47" w:rsidRPr="005D47F6">
        <w:rPr>
          <w:rFonts w:ascii="Arial Narrow" w:hAnsi="Arial Narrow"/>
          <w:sz w:val="24"/>
          <w:szCs w:val="24"/>
          <w:lang w:val="es-CO"/>
        </w:rPr>
        <w:t xml:space="preserve">, </w:t>
      </w:r>
      <w:r w:rsidR="00962938" w:rsidRPr="005D47F6">
        <w:rPr>
          <w:rFonts w:ascii="Arial Narrow" w:hAnsi="Arial Narrow"/>
          <w:sz w:val="24"/>
          <w:szCs w:val="24"/>
          <w:lang w:val="es-CO"/>
        </w:rPr>
        <w:t xml:space="preserve">plan de desmantelamiento </w:t>
      </w:r>
      <w:r w:rsidR="00654682" w:rsidRPr="005D47F6">
        <w:rPr>
          <w:rFonts w:ascii="Arial Narrow" w:hAnsi="Arial Narrow"/>
          <w:sz w:val="24"/>
          <w:szCs w:val="24"/>
          <w:lang w:val="es-CO"/>
        </w:rPr>
        <w:t>y cierre ambiental</w:t>
      </w:r>
      <w:r w:rsidR="00474804">
        <w:rPr>
          <w:rFonts w:ascii="Arial Narrow" w:hAnsi="Arial Narrow"/>
          <w:sz w:val="24"/>
          <w:szCs w:val="24"/>
          <w:lang w:val="es-CO"/>
        </w:rPr>
        <w:t xml:space="preserve"> y</w:t>
      </w:r>
      <w:r w:rsidR="00142A47" w:rsidRPr="005D47F6">
        <w:rPr>
          <w:rFonts w:ascii="Arial Narrow" w:hAnsi="Arial Narrow"/>
          <w:sz w:val="24"/>
          <w:szCs w:val="24"/>
          <w:lang w:val="es-CO"/>
        </w:rPr>
        <w:t xml:space="preserve"> plan de gestión de cambio climático.</w:t>
      </w:r>
    </w:p>
    <w:p w14:paraId="16AFE448" w14:textId="77777777" w:rsidR="00847B9F" w:rsidRDefault="00847B9F" w:rsidP="00847B9F">
      <w:pPr>
        <w:spacing w:after="0"/>
        <w:jc w:val="both"/>
        <w:rPr>
          <w:rFonts w:ascii="Arial Narrow" w:hAnsi="Arial Narrow"/>
          <w:sz w:val="24"/>
          <w:szCs w:val="24"/>
          <w:lang w:val="es-CO"/>
        </w:rPr>
      </w:pPr>
    </w:p>
    <w:p w14:paraId="4BA4961A" w14:textId="39D62C6D" w:rsidR="00B056E2" w:rsidRDefault="00F464D6" w:rsidP="00847B9F">
      <w:pPr>
        <w:spacing w:after="0"/>
        <w:jc w:val="both"/>
        <w:rPr>
          <w:rFonts w:ascii="Arial Narrow" w:hAnsi="Arial Narrow"/>
          <w:sz w:val="24"/>
          <w:szCs w:val="24"/>
          <w:lang w:val="es-CO"/>
        </w:rPr>
      </w:pPr>
      <w:r>
        <w:rPr>
          <w:rFonts w:ascii="Arial Narrow" w:hAnsi="Arial Narrow"/>
          <w:sz w:val="24"/>
          <w:szCs w:val="24"/>
          <w:lang w:val="es-CO"/>
        </w:rPr>
        <w:t xml:space="preserve">A </w:t>
      </w:r>
      <w:r w:rsidR="00847B9F">
        <w:rPr>
          <w:rFonts w:ascii="Arial Narrow" w:hAnsi="Arial Narrow"/>
          <w:sz w:val="24"/>
          <w:szCs w:val="24"/>
          <w:lang w:val="es-CO"/>
        </w:rPr>
        <w:t>continuación,</w:t>
      </w:r>
      <w:r>
        <w:rPr>
          <w:rFonts w:ascii="Arial Narrow" w:hAnsi="Arial Narrow"/>
          <w:sz w:val="24"/>
          <w:szCs w:val="24"/>
          <w:lang w:val="es-CO"/>
        </w:rPr>
        <w:t xml:space="preserve"> se discrimina la cantidad de comentarios según la temática de la Metodología general para la elaboración y presentación de estudios ambientales –MGEPEA a la que se refieren</w:t>
      </w:r>
      <w:r w:rsidR="00086AE7">
        <w:rPr>
          <w:rFonts w:ascii="Arial Narrow" w:hAnsi="Arial Narrow"/>
          <w:sz w:val="24"/>
          <w:szCs w:val="24"/>
          <w:lang w:val="es-CO"/>
        </w:rPr>
        <w:t xml:space="preserve"> y el actor que los formula</w:t>
      </w:r>
      <w:r w:rsidR="00B056E2">
        <w:rPr>
          <w:rFonts w:ascii="Arial Narrow" w:hAnsi="Arial Narrow"/>
          <w:sz w:val="24"/>
          <w:szCs w:val="24"/>
          <w:lang w:val="es-CO"/>
        </w:rPr>
        <w:t>:</w:t>
      </w:r>
    </w:p>
    <w:p w14:paraId="1898A798" w14:textId="77777777" w:rsidR="00847B9F" w:rsidRDefault="00847B9F" w:rsidP="00847B9F">
      <w:pPr>
        <w:spacing w:after="0"/>
        <w:jc w:val="both"/>
        <w:rPr>
          <w:rFonts w:ascii="Arial Narrow" w:hAnsi="Arial Narrow"/>
          <w:sz w:val="24"/>
          <w:szCs w:val="24"/>
          <w:lang w:val="es-CO"/>
        </w:rPr>
      </w:pPr>
    </w:p>
    <w:p w14:paraId="2325B294" w14:textId="77777777" w:rsidR="00847B9F" w:rsidRDefault="00847B9F" w:rsidP="00847B9F">
      <w:pPr>
        <w:spacing w:after="0"/>
        <w:jc w:val="both"/>
        <w:rPr>
          <w:rFonts w:ascii="Arial Narrow" w:hAnsi="Arial Narrow"/>
          <w:sz w:val="24"/>
          <w:szCs w:val="24"/>
          <w:lang w:val="es-CO"/>
        </w:rPr>
      </w:pPr>
    </w:p>
    <w:p w14:paraId="648B7D3F" w14:textId="77777777" w:rsidR="00847B9F" w:rsidRPr="00847B9F" w:rsidRDefault="00847B9F" w:rsidP="00847B9F">
      <w:pPr>
        <w:spacing w:after="0"/>
        <w:jc w:val="both"/>
        <w:rPr>
          <w:rFonts w:ascii="Arial Narrow" w:hAnsi="Arial Narrow"/>
          <w:sz w:val="24"/>
          <w:szCs w:val="24"/>
          <w:lang w:val="es-CO"/>
        </w:rPr>
      </w:pPr>
    </w:p>
    <w:p w14:paraId="741F54CE" w14:textId="77777777" w:rsidR="00847B9F" w:rsidRPr="00847B9F" w:rsidRDefault="00847B9F" w:rsidP="00847B9F">
      <w:pPr>
        <w:spacing w:after="0"/>
        <w:jc w:val="both"/>
        <w:rPr>
          <w:rFonts w:ascii="Arial Narrow" w:hAnsi="Arial Narrow"/>
          <w:sz w:val="24"/>
          <w:szCs w:val="24"/>
          <w:lang w:val="es-CO"/>
        </w:rPr>
      </w:pPr>
    </w:p>
    <w:p w14:paraId="7425E5DD" w14:textId="77777777" w:rsidR="00847B9F" w:rsidRPr="00847B9F" w:rsidRDefault="00847B9F" w:rsidP="00847B9F">
      <w:pPr>
        <w:spacing w:after="0"/>
        <w:jc w:val="both"/>
        <w:rPr>
          <w:rFonts w:ascii="Arial Narrow" w:hAnsi="Arial Narrow"/>
          <w:sz w:val="24"/>
          <w:szCs w:val="24"/>
          <w:lang w:val="es-CO"/>
        </w:rPr>
      </w:pPr>
    </w:p>
    <w:p w14:paraId="5837D666" w14:textId="77777777" w:rsidR="00847B9F" w:rsidRDefault="00847B9F" w:rsidP="00847B9F">
      <w:pPr>
        <w:spacing w:after="0"/>
        <w:jc w:val="both"/>
        <w:rPr>
          <w:rFonts w:ascii="Arial Narrow" w:hAnsi="Arial Narrow"/>
          <w:sz w:val="24"/>
          <w:szCs w:val="24"/>
          <w:lang w:val="es-CO"/>
        </w:rPr>
      </w:pPr>
    </w:p>
    <w:p w14:paraId="4C02D7ED" w14:textId="77777777" w:rsidR="00847B9F" w:rsidRDefault="00847B9F" w:rsidP="00847B9F">
      <w:pPr>
        <w:spacing w:after="0"/>
        <w:jc w:val="both"/>
        <w:rPr>
          <w:rFonts w:ascii="Arial Narrow" w:hAnsi="Arial Narrow"/>
          <w:sz w:val="24"/>
          <w:szCs w:val="24"/>
          <w:lang w:val="es-CO"/>
        </w:rPr>
      </w:pPr>
    </w:p>
    <w:p w14:paraId="5B694B22" w14:textId="7E1ED5F2" w:rsidR="00847B9F" w:rsidRDefault="00847B9F">
      <w:pPr>
        <w:rPr>
          <w:rFonts w:ascii="Arial Narrow" w:hAnsi="Arial Narrow"/>
          <w:sz w:val="24"/>
          <w:szCs w:val="24"/>
          <w:lang w:val="es-CO"/>
        </w:rPr>
      </w:pPr>
      <w:r>
        <w:rPr>
          <w:rFonts w:ascii="Arial Narrow" w:hAnsi="Arial Narrow"/>
          <w:sz w:val="24"/>
          <w:szCs w:val="24"/>
          <w:lang w:val="es-CO"/>
        </w:rPr>
        <w:br w:type="page"/>
      </w:r>
    </w:p>
    <w:p w14:paraId="14566780" w14:textId="7C6EEC47" w:rsidR="00287B35" w:rsidRDefault="00F464D6" w:rsidP="00086AE7">
      <w:pPr>
        <w:pStyle w:val="Ttulo2"/>
        <w:rPr>
          <w:rFonts w:ascii="Arial Narrow" w:hAnsi="Arial Narrow"/>
          <w:sz w:val="24"/>
          <w:lang w:val="es-CO"/>
        </w:rPr>
      </w:pPr>
      <w:r w:rsidRPr="00086AE7">
        <w:rPr>
          <w:rFonts w:ascii="Arial Narrow" w:hAnsi="Arial Narrow"/>
          <w:sz w:val="24"/>
          <w:lang w:val="es-CO"/>
        </w:rPr>
        <w:lastRenderedPageBreak/>
        <w:t>Cantidad de c</w:t>
      </w:r>
      <w:r w:rsidR="00287B35" w:rsidRPr="00086AE7">
        <w:rPr>
          <w:rFonts w:ascii="Arial Narrow" w:hAnsi="Arial Narrow"/>
          <w:sz w:val="24"/>
          <w:lang w:val="es-CO"/>
        </w:rPr>
        <w:t xml:space="preserve">omentarios por </w:t>
      </w:r>
      <w:r w:rsidRPr="00086AE7">
        <w:rPr>
          <w:rFonts w:ascii="Arial Narrow" w:hAnsi="Arial Narrow"/>
          <w:sz w:val="24"/>
          <w:lang w:val="es-CO"/>
        </w:rPr>
        <w:t>temática de la MGEPEA</w:t>
      </w:r>
      <w:r w:rsidR="00E50514" w:rsidRPr="00086AE7">
        <w:rPr>
          <w:rFonts w:ascii="Arial Narrow" w:hAnsi="Arial Narrow"/>
          <w:sz w:val="24"/>
          <w:lang w:val="es-CO"/>
        </w:rPr>
        <w:t>.</w:t>
      </w:r>
    </w:p>
    <w:p w14:paraId="46AE8272" w14:textId="63313882" w:rsidR="00964E04" w:rsidRPr="00847B9F" w:rsidRDefault="007A635D" w:rsidP="001265A9">
      <w:pPr>
        <w:spacing w:after="0"/>
        <w:jc w:val="both"/>
        <w:rPr>
          <w:rFonts w:ascii="Arial Narrow" w:hAnsi="Arial Narrow"/>
          <w:sz w:val="24"/>
          <w:szCs w:val="24"/>
          <w:lang w:val="es-CO"/>
        </w:rPr>
      </w:pPr>
      <w:r>
        <w:rPr>
          <w:noProof/>
        </w:rPr>
        <w:drawing>
          <wp:inline distT="0" distB="0" distL="0" distR="0" wp14:anchorId="73D781FA" wp14:editId="67CA7EB3">
            <wp:extent cx="5612130" cy="7679341"/>
            <wp:effectExtent l="0" t="0" r="7620" b="17145"/>
            <wp:docPr id="94025953" name="Gráfico 1">
              <a:extLst xmlns:a="http://schemas.openxmlformats.org/drawingml/2006/main">
                <a:ext uri="{FF2B5EF4-FFF2-40B4-BE49-F238E27FC236}">
                  <a16:creationId xmlns:a16="http://schemas.microsoft.com/office/drawing/2014/main" id="{CCF1BA28-D65D-38BD-5E8F-6624835D87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D52FAC">
        <w:rPr>
          <w:rFonts w:ascii="Arial Narrow" w:hAnsi="Arial Narrow"/>
          <w:sz w:val="24"/>
          <w:szCs w:val="24"/>
          <w:lang w:val="es-CO"/>
        </w:rPr>
        <w:br w:type="page"/>
      </w:r>
    </w:p>
    <w:p w14:paraId="28CE1A65" w14:textId="2716E74A" w:rsidR="00086AE7" w:rsidRDefault="00086AE7" w:rsidP="00086AE7">
      <w:pPr>
        <w:pStyle w:val="Ttulo2"/>
        <w:rPr>
          <w:rFonts w:ascii="Arial Narrow" w:hAnsi="Arial Narrow"/>
          <w:sz w:val="24"/>
          <w:lang w:val="es-CO"/>
        </w:rPr>
      </w:pPr>
      <w:r w:rsidRPr="00086AE7">
        <w:rPr>
          <w:rFonts w:ascii="Arial Narrow" w:hAnsi="Arial Narrow"/>
          <w:sz w:val="24"/>
          <w:lang w:val="es-CO"/>
        </w:rPr>
        <w:lastRenderedPageBreak/>
        <w:t>Cantidad de comentarios por actor.</w:t>
      </w:r>
    </w:p>
    <w:p w14:paraId="17A070D6" w14:textId="77777777" w:rsidR="00847B9F" w:rsidRPr="00847B9F" w:rsidRDefault="00847B9F" w:rsidP="00847B9F">
      <w:pPr>
        <w:spacing w:after="0"/>
        <w:jc w:val="both"/>
        <w:rPr>
          <w:rFonts w:ascii="Arial Narrow" w:hAnsi="Arial Narrow"/>
          <w:sz w:val="24"/>
          <w:szCs w:val="24"/>
          <w:lang w:val="es-CO"/>
        </w:rPr>
      </w:pPr>
    </w:p>
    <w:p w14:paraId="05D7603A" w14:textId="4CB3FD7C" w:rsidR="00086AE7" w:rsidRDefault="00E006B3" w:rsidP="00847B9F">
      <w:pPr>
        <w:spacing w:after="0"/>
        <w:jc w:val="both"/>
        <w:rPr>
          <w:rFonts w:ascii="Arial Narrow" w:hAnsi="Arial Narrow"/>
          <w:sz w:val="24"/>
          <w:szCs w:val="24"/>
          <w:lang w:val="es-CO"/>
        </w:rPr>
      </w:pPr>
      <w:r>
        <w:rPr>
          <w:noProof/>
        </w:rPr>
        <w:drawing>
          <wp:inline distT="0" distB="0" distL="0" distR="0" wp14:anchorId="30104E99" wp14:editId="191007A7">
            <wp:extent cx="5612130" cy="7153275"/>
            <wp:effectExtent l="0" t="0" r="7620" b="9525"/>
            <wp:docPr id="1554774558" name="Gráfico 1">
              <a:extLst xmlns:a="http://schemas.openxmlformats.org/drawingml/2006/main">
                <a:ext uri="{FF2B5EF4-FFF2-40B4-BE49-F238E27FC236}">
                  <a16:creationId xmlns:a16="http://schemas.microsoft.com/office/drawing/2014/main" id="{09281377-9038-4A35-96EA-67860F2E76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A78FABD" w14:textId="77777777" w:rsidR="00460A74" w:rsidRDefault="00460A74">
      <w:pPr>
        <w:rPr>
          <w:rFonts w:ascii="Arial Narrow" w:hAnsi="Arial Narrow"/>
          <w:sz w:val="24"/>
          <w:szCs w:val="24"/>
          <w:lang w:val="es-CO"/>
        </w:rPr>
      </w:pPr>
      <w:r>
        <w:rPr>
          <w:rFonts w:ascii="Arial Narrow" w:hAnsi="Arial Narrow"/>
          <w:sz w:val="24"/>
          <w:szCs w:val="24"/>
          <w:lang w:val="es-CO"/>
        </w:rPr>
        <w:br w:type="page"/>
      </w:r>
    </w:p>
    <w:p w14:paraId="6DA4EFBB" w14:textId="5185862B" w:rsidR="000771CD" w:rsidRDefault="00E50514" w:rsidP="00040539">
      <w:pPr>
        <w:jc w:val="both"/>
        <w:rPr>
          <w:rFonts w:ascii="Arial Narrow" w:hAnsi="Arial Narrow"/>
          <w:sz w:val="24"/>
          <w:szCs w:val="24"/>
          <w:lang w:val="es-CO"/>
        </w:rPr>
      </w:pPr>
      <w:r>
        <w:rPr>
          <w:rFonts w:ascii="Arial Narrow" w:hAnsi="Arial Narrow"/>
          <w:sz w:val="24"/>
          <w:szCs w:val="24"/>
          <w:lang w:val="es-CO"/>
        </w:rPr>
        <w:lastRenderedPageBreak/>
        <w:t>En las siguientes gráficas se informa sobre la cantidad de comentarios según el tipo de respuesta (se aclara, se acoge la propuesta, se acoge parcialmente la propuesta, no se acoge la propuesta)</w:t>
      </w:r>
      <w:r w:rsidR="00977BA7">
        <w:rPr>
          <w:rFonts w:ascii="Arial Narrow" w:hAnsi="Arial Narrow"/>
          <w:sz w:val="24"/>
          <w:szCs w:val="24"/>
          <w:lang w:val="es-CO"/>
        </w:rPr>
        <w:t>, de forma agregada, por temática de la MGEPEA y por actor</w:t>
      </w:r>
      <w:r>
        <w:rPr>
          <w:rFonts w:ascii="Arial Narrow" w:hAnsi="Arial Narrow"/>
          <w:sz w:val="24"/>
          <w:szCs w:val="24"/>
          <w:lang w:val="es-CO"/>
        </w:rPr>
        <w:t>.</w:t>
      </w:r>
    </w:p>
    <w:p w14:paraId="5729ED54" w14:textId="637E6989" w:rsidR="00977BA7" w:rsidRDefault="00977BA7" w:rsidP="00977BA7">
      <w:pPr>
        <w:pStyle w:val="Ttulo2"/>
        <w:rPr>
          <w:rFonts w:ascii="Arial Narrow" w:hAnsi="Arial Narrow"/>
          <w:sz w:val="24"/>
          <w:lang w:val="es-CO"/>
        </w:rPr>
      </w:pPr>
      <w:r>
        <w:rPr>
          <w:rFonts w:ascii="Arial Narrow" w:hAnsi="Arial Narrow"/>
          <w:sz w:val="24"/>
          <w:lang w:val="es-CO"/>
        </w:rPr>
        <w:t xml:space="preserve">Tipo de respuesta a </w:t>
      </w:r>
      <w:r w:rsidRPr="00086AE7">
        <w:rPr>
          <w:rFonts w:ascii="Arial Narrow" w:hAnsi="Arial Narrow"/>
          <w:sz w:val="24"/>
          <w:lang w:val="es-CO"/>
        </w:rPr>
        <w:t>comentarios</w:t>
      </w:r>
      <w:r>
        <w:rPr>
          <w:rFonts w:ascii="Arial Narrow" w:hAnsi="Arial Narrow"/>
          <w:sz w:val="24"/>
          <w:lang w:val="es-CO"/>
        </w:rPr>
        <w:t>. Agregado</w:t>
      </w:r>
      <w:r w:rsidRPr="00086AE7">
        <w:rPr>
          <w:rFonts w:ascii="Arial Narrow" w:hAnsi="Arial Narrow"/>
          <w:sz w:val="24"/>
          <w:lang w:val="es-CO"/>
        </w:rPr>
        <w:t>.</w:t>
      </w:r>
    </w:p>
    <w:p w14:paraId="19FD1747" w14:textId="77777777" w:rsidR="008475B7" w:rsidRPr="008475B7" w:rsidRDefault="008475B7" w:rsidP="008475B7">
      <w:pPr>
        <w:spacing w:after="0"/>
        <w:jc w:val="both"/>
        <w:rPr>
          <w:rFonts w:ascii="Arial Narrow" w:hAnsi="Arial Narrow"/>
          <w:sz w:val="24"/>
          <w:szCs w:val="24"/>
          <w:lang w:val="es-CO"/>
        </w:rPr>
      </w:pPr>
    </w:p>
    <w:p w14:paraId="4E04DA7E" w14:textId="68A8E5AA" w:rsidR="00977BA7" w:rsidRDefault="00AC710B" w:rsidP="00967083">
      <w:pPr>
        <w:spacing w:after="0" w:line="240" w:lineRule="auto"/>
        <w:jc w:val="both"/>
        <w:rPr>
          <w:rFonts w:ascii="Arial Narrow" w:hAnsi="Arial Narrow"/>
          <w:sz w:val="24"/>
          <w:szCs w:val="24"/>
          <w:lang w:val="es-CO"/>
        </w:rPr>
      </w:pPr>
      <w:r>
        <w:rPr>
          <w:noProof/>
        </w:rPr>
        <w:drawing>
          <wp:inline distT="0" distB="0" distL="0" distR="0" wp14:anchorId="327F9D19" wp14:editId="3867580C">
            <wp:extent cx="5612130" cy="1383738"/>
            <wp:effectExtent l="0" t="0" r="7620" b="6985"/>
            <wp:docPr id="1102566512" name="Gráfico 1">
              <a:extLst xmlns:a="http://schemas.openxmlformats.org/drawingml/2006/main">
                <a:ext uri="{FF2B5EF4-FFF2-40B4-BE49-F238E27FC236}">
                  <a16:creationId xmlns:a16="http://schemas.microsoft.com/office/drawing/2014/main" id="{D4D996A8-7EA4-FEC8-2067-4D2D92A99F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81BAA8C" w14:textId="6BE2955E" w:rsidR="00977BA7" w:rsidRDefault="00977BA7" w:rsidP="00967083">
      <w:pPr>
        <w:spacing w:after="0" w:line="240" w:lineRule="auto"/>
        <w:jc w:val="both"/>
        <w:rPr>
          <w:rFonts w:ascii="Arial Narrow" w:hAnsi="Arial Narrow"/>
          <w:sz w:val="24"/>
          <w:szCs w:val="24"/>
          <w:lang w:val="es-CO"/>
        </w:rPr>
      </w:pPr>
    </w:p>
    <w:p w14:paraId="5848310C" w14:textId="62D9C1AE" w:rsidR="00977BA7" w:rsidRPr="00086AE7" w:rsidRDefault="00977BA7" w:rsidP="00967083">
      <w:pPr>
        <w:pStyle w:val="Ttulo2"/>
        <w:spacing w:before="120" w:line="240" w:lineRule="auto"/>
        <w:rPr>
          <w:rFonts w:ascii="Arial Narrow" w:hAnsi="Arial Narrow"/>
          <w:sz w:val="24"/>
          <w:lang w:val="es-CO"/>
        </w:rPr>
      </w:pPr>
      <w:r>
        <w:rPr>
          <w:rFonts w:ascii="Arial Narrow" w:hAnsi="Arial Narrow"/>
          <w:sz w:val="24"/>
          <w:lang w:val="es-CO"/>
        </w:rPr>
        <w:t xml:space="preserve">Tipo de respuesta a </w:t>
      </w:r>
      <w:r w:rsidRPr="00086AE7">
        <w:rPr>
          <w:rFonts w:ascii="Arial Narrow" w:hAnsi="Arial Narrow"/>
          <w:sz w:val="24"/>
          <w:lang w:val="es-CO"/>
        </w:rPr>
        <w:t>comentarios</w:t>
      </w:r>
      <w:r>
        <w:rPr>
          <w:rFonts w:ascii="Arial Narrow" w:hAnsi="Arial Narrow"/>
          <w:sz w:val="24"/>
          <w:lang w:val="es-CO"/>
        </w:rPr>
        <w:t>. Por actor</w:t>
      </w:r>
      <w:r w:rsidRPr="00086AE7">
        <w:rPr>
          <w:rFonts w:ascii="Arial Narrow" w:hAnsi="Arial Narrow"/>
          <w:sz w:val="24"/>
          <w:lang w:val="es-CO"/>
        </w:rPr>
        <w:t>.</w:t>
      </w:r>
    </w:p>
    <w:p w14:paraId="515BE8F5" w14:textId="4E4F9093" w:rsidR="00977BA7" w:rsidRPr="00197A2F" w:rsidRDefault="00967083" w:rsidP="00197A2F">
      <w:pPr>
        <w:spacing w:after="0"/>
        <w:jc w:val="both"/>
        <w:rPr>
          <w:rFonts w:ascii="Arial Narrow" w:hAnsi="Arial Narrow"/>
          <w:sz w:val="24"/>
          <w:szCs w:val="24"/>
          <w:lang w:val="es-CO"/>
        </w:rPr>
      </w:pPr>
      <w:r>
        <w:rPr>
          <w:noProof/>
        </w:rPr>
        <w:drawing>
          <wp:inline distT="0" distB="0" distL="0" distR="0" wp14:anchorId="5D6A3C67" wp14:editId="46A6EC99">
            <wp:extent cx="5386705" cy="5089890"/>
            <wp:effectExtent l="0" t="0" r="4445" b="15875"/>
            <wp:docPr id="1886245004" name="Gráfico 1">
              <a:extLst xmlns:a="http://schemas.openxmlformats.org/drawingml/2006/main">
                <a:ext uri="{FF2B5EF4-FFF2-40B4-BE49-F238E27FC236}">
                  <a16:creationId xmlns:a16="http://schemas.microsoft.com/office/drawing/2014/main" id="{B8376E1B-1655-BF84-E488-C744FFAEFE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99F297D" w14:textId="77777777" w:rsidR="00967083" w:rsidRDefault="00967083" w:rsidP="00967083">
      <w:pPr>
        <w:pStyle w:val="Ttulo2"/>
        <w:rPr>
          <w:rFonts w:ascii="Arial Narrow" w:hAnsi="Arial Narrow"/>
          <w:sz w:val="24"/>
          <w:lang w:val="es-CO"/>
        </w:rPr>
      </w:pPr>
      <w:r>
        <w:rPr>
          <w:rFonts w:ascii="Arial Narrow" w:hAnsi="Arial Narrow"/>
          <w:sz w:val="24"/>
          <w:lang w:val="es-CO"/>
        </w:rPr>
        <w:lastRenderedPageBreak/>
        <w:t xml:space="preserve">Tipo de respuesta a </w:t>
      </w:r>
      <w:r w:rsidRPr="00086AE7">
        <w:rPr>
          <w:rFonts w:ascii="Arial Narrow" w:hAnsi="Arial Narrow"/>
          <w:sz w:val="24"/>
          <w:lang w:val="es-CO"/>
        </w:rPr>
        <w:t>comentarios</w:t>
      </w:r>
      <w:r>
        <w:rPr>
          <w:rFonts w:ascii="Arial Narrow" w:hAnsi="Arial Narrow"/>
          <w:sz w:val="24"/>
          <w:lang w:val="es-CO"/>
        </w:rPr>
        <w:t>. Por temática</w:t>
      </w:r>
      <w:r w:rsidRPr="00086AE7">
        <w:rPr>
          <w:rFonts w:ascii="Arial Narrow" w:hAnsi="Arial Narrow"/>
          <w:sz w:val="24"/>
          <w:lang w:val="es-CO"/>
        </w:rPr>
        <w:t>.</w:t>
      </w:r>
    </w:p>
    <w:p w14:paraId="5A077228" w14:textId="77777777" w:rsidR="00967083" w:rsidRPr="008475B7" w:rsidRDefault="00967083" w:rsidP="00967083">
      <w:pPr>
        <w:spacing w:after="0"/>
        <w:jc w:val="both"/>
        <w:rPr>
          <w:lang w:val="es-CO"/>
        </w:rPr>
      </w:pPr>
    </w:p>
    <w:p w14:paraId="6AB348E3" w14:textId="727196C9" w:rsidR="00967083" w:rsidRPr="008475B7" w:rsidRDefault="00E81B3F" w:rsidP="00967083">
      <w:pPr>
        <w:spacing w:after="0"/>
        <w:jc w:val="both"/>
        <w:rPr>
          <w:rFonts w:ascii="Arial Narrow" w:hAnsi="Arial Narrow"/>
          <w:sz w:val="24"/>
          <w:szCs w:val="24"/>
          <w:lang w:val="es-CO"/>
        </w:rPr>
      </w:pPr>
      <w:r>
        <w:rPr>
          <w:noProof/>
        </w:rPr>
        <w:drawing>
          <wp:inline distT="0" distB="0" distL="0" distR="0" wp14:anchorId="0AB28852" wp14:editId="075EC713">
            <wp:extent cx="5389419" cy="7422323"/>
            <wp:effectExtent l="0" t="0" r="1905" b="7620"/>
            <wp:docPr id="1552574825" name="Gráfico 1">
              <a:extLst xmlns:a="http://schemas.openxmlformats.org/drawingml/2006/main">
                <a:ext uri="{FF2B5EF4-FFF2-40B4-BE49-F238E27FC236}">
                  <a16:creationId xmlns:a16="http://schemas.microsoft.com/office/drawing/2014/main" id="{3894EF51-60E2-4A92-A60D-9052595C4E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EBEB89E" w14:textId="5C27E267" w:rsidR="00197A2F" w:rsidRPr="006F3E1E" w:rsidRDefault="00197A2F" w:rsidP="00197A2F">
      <w:pPr>
        <w:spacing w:after="0"/>
        <w:jc w:val="both"/>
        <w:rPr>
          <w:rFonts w:ascii="Arial Narrow" w:hAnsi="Arial Narrow"/>
          <w:sz w:val="24"/>
          <w:szCs w:val="24"/>
          <w:lang w:val="es-CO"/>
        </w:rPr>
      </w:pPr>
    </w:p>
    <w:p w14:paraId="40870AE1" w14:textId="77777777" w:rsidR="00197A2F" w:rsidRDefault="00197A2F" w:rsidP="00197A2F">
      <w:pPr>
        <w:spacing w:after="0"/>
        <w:jc w:val="both"/>
        <w:rPr>
          <w:rFonts w:ascii="Arial Narrow" w:hAnsi="Arial Narrow"/>
          <w:sz w:val="24"/>
          <w:szCs w:val="24"/>
          <w:lang w:val="es-CO"/>
        </w:rPr>
      </w:pPr>
    </w:p>
    <w:p w14:paraId="7ED92CA5" w14:textId="3472FB7E" w:rsidR="002E3762" w:rsidRDefault="00E926C7" w:rsidP="00D41D90">
      <w:pPr>
        <w:jc w:val="both"/>
        <w:rPr>
          <w:rFonts w:ascii="Arial Narrow" w:hAnsi="Arial Narrow"/>
          <w:sz w:val="24"/>
          <w:szCs w:val="24"/>
          <w:lang w:val="es-CO"/>
        </w:rPr>
      </w:pPr>
      <w:r>
        <w:rPr>
          <w:rFonts w:ascii="Arial Narrow" w:hAnsi="Arial Narrow"/>
          <w:sz w:val="24"/>
          <w:szCs w:val="24"/>
          <w:lang w:val="es-CO"/>
        </w:rPr>
        <w:t xml:space="preserve">La respuesta </w:t>
      </w:r>
      <w:r w:rsidR="003A60B2">
        <w:rPr>
          <w:rFonts w:ascii="Arial Narrow" w:hAnsi="Arial Narrow"/>
          <w:sz w:val="24"/>
          <w:szCs w:val="24"/>
          <w:lang w:val="es-CO"/>
        </w:rPr>
        <w:t xml:space="preserve">específica a cada uno de </w:t>
      </w:r>
      <w:r>
        <w:rPr>
          <w:rFonts w:ascii="Arial Narrow" w:hAnsi="Arial Narrow"/>
          <w:sz w:val="24"/>
          <w:szCs w:val="24"/>
          <w:lang w:val="es-CO"/>
        </w:rPr>
        <w:t xml:space="preserve">los comentarios se anexa </w:t>
      </w:r>
      <w:r w:rsidR="007B085D">
        <w:rPr>
          <w:rFonts w:ascii="Arial Narrow" w:hAnsi="Arial Narrow"/>
          <w:sz w:val="24"/>
          <w:szCs w:val="24"/>
          <w:lang w:val="es-CO"/>
        </w:rPr>
        <w:t xml:space="preserve">en </w:t>
      </w:r>
      <w:r w:rsidR="002B50E9">
        <w:rPr>
          <w:rFonts w:ascii="Arial Narrow" w:hAnsi="Arial Narrow"/>
          <w:sz w:val="24"/>
          <w:szCs w:val="24"/>
          <w:lang w:val="es-CO"/>
        </w:rPr>
        <w:t xml:space="preserve">el </w:t>
      </w:r>
      <w:r w:rsidR="007B085D" w:rsidRPr="009E1F57">
        <w:rPr>
          <w:rFonts w:ascii="Arial Narrow" w:hAnsi="Arial Narrow"/>
          <w:sz w:val="24"/>
          <w:szCs w:val="24"/>
          <w:lang w:val="es-CO"/>
        </w:rPr>
        <w:t>formato F-M-INA-25</w:t>
      </w:r>
      <w:r w:rsidR="00D270CE">
        <w:rPr>
          <w:rFonts w:ascii="Arial Narrow" w:hAnsi="Arial Narrow"/>
          <w:sz w:val="24"/>
          <w:szCs w:val="24"/>
          <w:lang w:val="es-CO"/>
        </w:rPr>
        <w:t xml:space="preserve">. Este formato </w:t>
      </w:r>
      <w:r w:rsidR="00BA71D1">
        <w:rPr>
          <w:rFonts w:ascii="Arial Narrow" w:hAnsi="Arial Narrow"/>
          <w:sz w:val="24"/>
          <w:szCs w:val="24"/>
          <w:lang w:val="es-CO"/>
        </w:rPr>
        <w:t xml:space="preserve">hace </w:t>
      </w:r>
      <w:r>
        <w:rPr>
          <w:rFonts w:ascii="Arial Narrow" w:hAnsi="Arial Narrow"/>
          <w:sz w:val="24"/>
          <w:szCs w:val="24"/>
          <w:lang w:val="es-CO"/>
        </w:rPr>
        <w:t>parte de la documentación del proceso de e</w:t>
      </w:r>
      <w:r w:rsidR="00857EC9">
        <w:rPr>
          <w:rFonts w:ascii="Arial Narrow" w:hAnsi="Arial Narrow"/>
          <w:sz w:val="24"/>
          <w:szCs w:val="24"/>
          <w:lang w:val="es-CO"/>
        </w:rPr>
        <w:t>xpedición de la propuesta normativa</w:t>
      </w:r>
      <w:r w:rsidR="00322B87">
        <w:rPr>
          <w:rFonts w:ascii="Arial Narrow" w:hAnsi="Arial Narrow"/>
          <w:sz w:val="24"/>
          <w:szCs w:val="24"/>
          <w:lang w:val="es-CO"/>
        </w:rPr>
        <w:t xml:space="preserve"> y se publica</w:t>
      </w:r>
      <w:r w:rsidR="00A53A8D">
        <w:rPr>
          <w:rFonts w:ascii="Arial Narrow" w:hAnsi="Arial Narrow"/>
          <w:sz w:val="24"/>
          <w:szCs w:val="24"/>
          <w:lang w:val="es-CO"/>
        </w:rPr>
        <w:t xml:space="preserve">, </w:t>
      </w:r>
      <w:r w:rsidR="00755692">
        <w:rPr>
          <w:rFonts w:ascii="Arial Narrow" w:hAnsi="Arial Narrow"/>
          <w:sz w:val="24"/>
          <w:szCs w:val="24"/>
          <w:lang w:val="es-CO"/>
        </w:rPr>
        <w:t>acompañado del presente informe</w:t>
      </w:r>
      <w:r w:rsidR="00A53A8D">
        <w:rPr>
          <w:rFonts w:ascii="Arial Narrow" w:hAnsi="Arial Narrow"/>
          <w:sz w:val="24"/>
          <w:szCs w:val="24"/>
          <w:lang w:val="es-CO"/>
        </w:rPr>
        <w:t>,</w:t>
      </w:r>
      <w:r w:rsidR="00322B87">
        <w:rPr>
          <w:rFonts w:ascii="Arial Narrow" w:hAnsi="Arial Narrow"/>
          <w:sz w:val="24"/>
          <w:szCs w:val="24"/>
          <w:lang w:val="es-CO"/>
        </w:rPr>
        <w:t xml:space="preserve"> en la página web del Ministerio de Ambiente y Desarrollo Sostenible.</w:t>
      </w:r>
    </w:p>
    <w:p w14:paraId="1BC09508" w14:textId="462223DB" w:rsidR="00216960" w:rsidRDefault="00216960" w:rsidP="00D41D90">
      <w:pPr>
        <w:jc w:val="both"/>
        <w:rPr>
          <w:rFonts w:ascii="Arial Narrow" w:hAnsi="Arial Narrow"/>
          <w:sz w:val="24"/>
          <w:szCs w:val="24"/>
          <w:lang w:val="es-CO"/>
        </w:rPr>
      </w:pPr>
    </w:p>
    <w:p w14:paraId="199FF9CB" w14:textId="2D83BCCE" w:rsidR="000303E2" w:rsidRDefault="00007AE2" w:rsidP="00007AE2">
      <w:pPr>
        <w:spacing w:after="0" w:line="240" w:lineRule="auto"/>
        <w:jc w:val="both"/>
        <w:rPr>
          <w:rFonts w:ascii="Arial Narrow" w:hAnsi="Arial Narrow"/>
          <w:sz w:val="16"/>
          <w:szCs w:val="24"/>
          <w:lang w:val="es-CO"/>
        </w:rPr>
      </w:pPr>
      <w:r w:rsidRPr="008F5562">
        <w:rPr>
          <w:rFonts w:ascii="Arial Narrow" w:hAnsi="Arial Narrow"/>
          <w:sz w:val="16"/>
          <w:szCs w:val="24"/>
          <w:lang w:val="es-CO"/>
        </w:rPr>
        <w:t>Elaboró:</w:t>
      </w:r>
      <w:r w:rsidR="00511DE5">
        <w:rPr>
          <w:rFonts w:ascii="Arial Narrow" w:hAnsi="Arial Narrow"/>
          <w:sz w:val="16"/>
          <w:szCs w:val="24"/>
          <w:lang w:val="es-CO"/>
        </w:rPr>
        <w:tab/>
      </w:r>
      <w:r w:rsidR="00E50514">
        <w:rPr>
          <w:rFonts w:ascii="Arial Narrow" w:hAnsi="Arial Narrow"/>
          <w:sz w:val="16"/>
          <w:szCs w:val="24"/>
          <w:lang w:val="es-CO"/>
        </w:rPr>
        <w:t>Camilo Ernesto Buitrago Soto</w:t>
      </w:r>
      <w:r w:rsidR="000303E2">
        <w:rPr>
          <w:rFonts w:ascii="Arial Narrow" w:hAnsi="Arial Narrow"/>
          <w:sz w:val="16"/>
          <w:szCs w:val="24"/>
          <w:lang w:val="es-CO"/>
        </w:rPr>
        <w:t>- Contratista</w:t>
      </w:r>
      <w:r w:rsidR="005D47F6">
        <w:rPr>
          <w:rFonts w:ascii="Arial Narrow" w:hAnsi="Arial Narrow"/>
          <w:sz w:val="16"/>
          <w:szCs w:val="24"/>
          <w:lang w:val="es-CO"/>
        </w:rPr>
        <w:t xml:space="preserve"> - </w:t>
      </w:r>
      <w:r w:rsidR="000303E2">
        <w:rPr>
          <w:rFonts w:ascii="Arial Narrow" w:hAnsi="Arial Narrow"/>
          <w:sz w:val="16"/>
          <w:szCs w:val="24"/>
          <w:lang w:val="es-CO"/>
        </w:rPr>
        <w:t>Dirección de Asuntos</w:t>
      </w:r>
      <w:r w:rsidR="00511DE5">
        <w:rPr>
          <w:rFonts w:ascii="Arial Narrow" w:hAnsi="Arial Narrow"/>
          <w:sz w:val="16"/>
          <w:szCs w:val="24"/>
          <w:lang w:val="es-CO"/>
        </w:rPr>
        <w:t xml:space="preserve"> Ambientales Sectorial y Urbana</w:t>
      </w:r>
    </w:p>
    <w:p w14:paraId="59F6EABC" w14:textId="34D6A7ED" w:rsidR="00142A47" w:rsidRDefault="00142A47" w:rsidP="008B3398">
      <w:pPr>
        <w:spacing w:after="0" w:line="240" w:lineRule="auto"/>
        <w:ind w:firstLine="720"/>
        <w:jc w:val="both"/>
        <w:rPr>
          <w:rFonts w:ascii="Arial Narrow" w:hAnsi="Arial Narrow"/>
          <w:sz w:val="16"/>
          <w:szCs w:val="24"/>
          <w:lang w:val="es-CO"/>
        </w:rPr>
      </w:pPr>
      <w:r>
        <w:rPr>
          <w:rFonts w:ascii="Arial Narrow" w:hAnsi="Arial Narrow"/>
          <w:sz w:val="16"/>
          <w:szCs w:val="24"/>
          <w:lang w:val="es-CO"/>
        </w:rPr>
        <w:t xml:space="preserve">Andrea Carolina Reina Rojas - </w:t>
      </w:r>
      <w:r w:rsidR="005D47F6">
        <w:rPr>
          <w:rFonts w:ascii="Arial Narrow" w:hAnsi="Arial Narrow"/>
          <w:sz w:val="16"/>
          <w:szCs w:val="24"/>
          <w:lang w:val="es-CO"/>
        </w:rPr>
        <w:t>Contratista - Dirección de Asuntos Ambientales Sectorial y Urbana</w:t>
      </w:r>
    </w:p>
    <w:p w14:paraId="240B769C" w14:textId="403F38C3" w:rsidR="005D47F6" w:rsidRDefault="000303E2" w:rsidP="00197A2F">
      <w:pPr>
        <w:spacing w:after="0" w:line="240" w:lineRule="auto"/>
        <w:jc w:val="both"/>
        <w:rPr>
          <w:rFonts w:ascii="Arial Narrow" w:hAnsi="Arial Narrow"/>
          <w:sz w:val="16"/>
          <w:szCs w:val="24"/>
          <w:lang w:val="es-CO"/>
        </w:rPr>
      </w:pPr>
      <w:r>
        <w:rPr>
          <w:rFonts w:ascii="Arial Narrow" w:hAnsi="Arial Narrow"/>
          <w:sz w:val="16"/>
          <w:szCs w:val="24"/>
          <w:lang w:val="es-CO"/>
        </w:rPr>
        <w:t>Revisó:</w:t>
      </w:r>
      <w:r w:rsidR="00511DE5">
        <w:rPr>
          <w:rFonts w:ascii="Arial Narrow" w:hAnsi="Arial Narrow"/>
          <w:sz w:val="16"/>
          <w:szCs w:val="24"/>
          <w:lang w:val="es-CO"/>
        </w:rPr>
        <w:tab/>
      </w:r>
      <w:r w:rsidR="005D47F6" w:rsidRPr="005D47F6">
        <w:rPr>
          <w:rFonts w:ascii="Arial Narrow" w:hAnsi="Arial Narrow"/>
          <w:sz w:val="16"/>
          <w:szCs w:val="24"/>
          <w:lang w:val="es-CO"/>
        </w:rPr>
        <w:t>María del Carmen Cabeza Alarcón - Profesional Especializado - Dirección de Asuntos Ambientales Sectorial y Urbana</w:t>
      </w:r>
    </w:p>
    <w:p w14:paraId="437A3552" w14:textId="39A88A0F" w:rsidR="00FF6614" w:rsidRPr="008F5562" w:rsidRDefault="00007AE2" w:rsidP="00511DE5">
      <w:pPr>
        <w:spacing w:after="0" w:line="240" w:lineRule="auto"/>
        <w:ind w:firstLine="720"/>
        <w:jc w:val="both"/>
        <w:rPr>
          <w:rFonts w:ascii="Arial Narrow" w:hAnsi="Arial Narrow"/>
          <w:sz w:val="24"/>
          <w:szCs w:val="24"/>
          <w:lang w:val="es-CO"/>
        </w:rPr>
      </w:pPr>
      <w:r w:rsidRPr="008F5562">
        <w:rPr>
          <w:rFonts w:ascii="Arial Narrow" w:hAnsi="Arial Narrow"/>
          <w:sz w:val="16"/>
          <w:szCs w:val="24"/>
          <w:lang w:val="es-CO"/>
        </w:rPr>
        <w:t>Fecha:</w:t>
      </w:r>
      <w:r w:rsidR="003B13C4">
        <w:rPr>
          <w:rFonts w:ascii="Arial Narrow" w:hAnsi="Arial Narrow"/>
          <w:sz w:val="16"/>
          <w:szCs w:val="24"/>
          <w:lang w:val="es-CO"/>
        </w:rPr>
        <w:t xml:space="preserve"> </w:t>
      </w:r>
      <w:r w:rsidR="002E1DEC">
        <w:rPr>
          <w:rFonts w:ascii="Arial Narrow" w:hAnsi="Arial Narrow"/>
          <w:sz w:val="16"/>
          <w:szCs w:val="24"/>
          <w:lang w:val="es-CO"/>
        </w:rPr>
        <w:t>2</w:t>
      </w:r>
      <w:r w:rsidR="007A27DE">
        <w:rPr>
          <w:rFonts w:ascii="Arial Narrow" w:hAnsi="Arial Narrow"/>
          <w:sz w:val="16"/>
          <w:szCs w:val="24"/>
          <w:lang w:val="es-CO"/>
        </w:rPr>
        <w:t>2</w:t>
      </w:r>
      <w:r w:rsidR="00857EC9">
        <w:rPr>
          <w:rFonts w:ascii="Arial Narrow" w:hAnsi="Arial Narrow"/>
          <w:sz w:val="16"/>
          <w:szCs w:val="24"/>
          <w:lang w:val="es-CO"/>
        </w:rPr>
        <w:t>/</w:t>
      </w:r>
      <w:r w:rsidR="00D601A8">
        <w:rPr>
          <w:rFonts w:ascii="Arial Narrow" w:hAnsi="Arial Narrow"/>
          <w:sz w:val="16"/>
          <w:szCs w:val="24"/>
          <w:lang w:val="es-CO"/>
        </w:rPr>
        <w:t>07</w:t>
      </w:r>
      <w:r w:rsidR="00857EC9">
        <w:rPr>
          <w:rFonts w:ascii="Arial Narrow" w:hAnsi="Arial Narrow"/>
          <w:sz w:val="16"/>
          <w:szCs w:val="24"/>
          <w:lang w:val="es-CO"/>
        </w:rPr>
        <w:t>/202</w:t>
      </w:r>
      <w:r w:rsidR="00D601A8">
        <w:rPr>
          <w:rFonts w:ascii="Arial Narrow" w:hAnsi="Arial Narrow"/>
          <w:sz w:val="16"/>
          <w:szCs w:val="24"/>
          <w:lang w:val="es-CO"/>
        </w:rPr>
        <w:t>6</w:t>
      </w:r>
    </w:p>
    <w:sectPr w:rsidR="00FF6614" w:rsidRPr="008F5562" w:rsidSect="00AC6CA4">
      <w:headerReference w:type="default" r:id="rId13"/>
      <w:footerReference w:type="default" r:id="rId14"/>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AC9E0" w14:textId="77777777" w:rsidR="005E76E6" w:rsidRDefault="005E76E6" w:rsidP="004D7254">
      <w:pPr>
        <w:spacing w:after="0" w:line="240" w:lineRule="auto"/>
      </w:pPr>
      <w:r>
        <w:separator/>
      </w:r>
    </w:p>
  </w:endnote>
  <w:endnote w:type="continuationSeparator" w:id="0">
    <w:p w14:paraId="0FC4476A" w14:textId="77777777" w:rsidR="005E76E6" w:rsidRDefault="005E76E6" w:rsidP="004D7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90F02" w14:textId="77777777" w:rsidR="00007AE2" w:rsidRPr="00007AE2" w:rsidRDefault="00007AE2" w:rsidP="008F5562">
    <w:pPr>
      <w:pStyle w:val="Piedepgina"/>
      <w:jc w:val="right"/>
      <w:rPr>
        <w:rFonts w:ascii="Verdana" w:hAnsi="Verdana"/>
        <w:sz w:val="18"/>
        <w:szCs w:val="18"/>
        <w:lang w:val="es-CO"/>
      </w:rPr>
    </w:pPr>
    <w:r w:rsidRPr="00007AE2">
      <w:rPr>
        <w:rFonts w:ascii="Verdana" w:hAnsi="Verdana"/>
        <w:color w:val="BFBFBF"/>
        <w:sz w:val="18"/>
        <w:szCs w:val="18"/>
        <w:lang w:val="es-CO"/>
      </w:rPr>
      <w:t xml:space="preserve">                                                           </w:t>
    </w:r>
    <w:r w:rsidRPr="00007AE2">
      <w:rPr>
        <w:rFonts w:ascii="Verdana" w:hAnsi="Verdana"/>
        <w:sz w:val="18"/>
        <w:szCs w:val="18"/>
        <w:lang w:val="es-CO"/>
      </w:rPr>
      <w:t>Calle 37 No. 8 - 40</w:t>
    </w:r>
  </w:p>
  <w:p w14:paraId="29B17D2B" w14:textId="77777777" w:rsidR="00007AE2" w:rsidRPr="00176E08" w:rsidRDefault="00007AE2" w:rsidP="00007AE2">
    <w:pPr>
      <w:pStyle w:val="Piedepgina"/>
      <w:jc w:val="right"/>
      <w:rPr>
        <w:rFonts w:ascii="Verdana" w:hAnsi="Verdana"/>
        <w:sz w:val="18"/>
        <w:szCs w:val="18"/>
        <w:lang w:val="es-CO"/>
      </w:rPr>
    </w:pPr>
    <w:r w:rsidRPr="00176E08">
      <w:rPr>
        <w:rFonts w:ascii="Verdana" w:hAnsi="Verdana"/>
        <w:sz w:val="18"/>
        <w:szCs w:val="18"/>
        <w:lang w:val="es-CO"/>
      </w:rPr>
      <w:t>Conmutador (571) 3323400</w:t>
    </w:r>
  </w:p>
  <w:p w14:paraId="191BB25D" w14:textId="77777777" w:rsidR="00007AE2" w:rsidRPr="00176E08" w:rsidRDefault="00007AE2" w:rsidP="00007AE2">
    <w:pPr>
      <w:pStyle w:val="Piedepgina"/>
      <w:rPr>
        <w:rFonts w:ascii="Verdana" w:hAnsi="Verdana"/>
        <w:sz w:val="18"/>
        <w:szCs w:val="18"/>
        <w:lang w:val="es-CO"/>
      </w:rPr>
    </w:pPr>
    <w:r w:rsidRPr="00176E08">
      <w:rPr>
        <w:rFonts w:ascii="Verdana" w:hAnsi="Verdana"/>
        <w:sz w:val="18"/>
        <w:szCs w:val="18"/>
        <w:lang w:val="es-CO"/>
      </w:rPr>
      <w:tab/>
    </w:r>
    <w:r w:rsidRPr="00176E08">
      <w:rPr>
        <w:rFonts w:ascii="Verdana" w:hAnsi="Verdana"/>
        <w:sz w:val="18"/>
        <w:szCs w:val="18"/>
        <w:lang w:val="es-CO"/>
      </w:rPr>
      <w:tab/>
    </w:r>
    <w:hyperlink r:id="rId1" w:history="1">
      <w:r w:rsidRPr="00176E08">
        <w:rPr>
          <w:rStyle w:val="Hipervnculo"/>
          <w:rFonts w:ascii="Verdana" w:hAnsi="Verdana"/>
          <w:sz w:val="18"/>
          <w:szCs w:val="18"/>
          <w:lang w:val="es-CO"/>
        </w:rPr>
        <w:t>www.minambiente.gov.co</w:t>
      </w:r>
    </w:hyperlink>
    <w:r w:rsidRPr="00176E08">
      <w:rPr>
        <w:rFonts w:ascii="Verdana" w:hAnsi="Verdana"/>
        <w:sz w:val="18"/>
        <w:szCs w:val="18"/>
        <w:lang w:val="es-CO"/>
      </w:rPr>
      <w:t xml:space="preserve"> </w:t>
    </w:r>
  </w:p>
  <w:p w14:paraId="56966829" w14:textId="77777777" w:rsidR="00007AE2" w:rsidRDefault="00007AE2" w:rsidP="00007AE2">
    <w:pPr>
      <w:pStyle w:val="Piedepgina"/>
      <w:tabs>
        <w:tab w:val="clear" w:pos="4419"/>
        <w:tab w:val="clear" w:pos="8838"/>
        <w:tab w:val="left" w:pos="8789"/>
      </w:tabs>
      <w:jc w:val="right"/>
      <w:rPr>
        <w:rFonts w:ascii="Verdana" w:hAnsi="Verdana"/>
        <w:sz w:val="18"/>
        <w:szCs w:val="18"/>
      </w:rPr>
    </w:pPr>
    <w:r w:rsidRPr="00176E08">
      <w:rPr>
        <w:rFonts w:ascii="Verdana" w:hAnsi="Verdana"/>
        <w:sz w:val="18"/>
        <w:szCs w:val="18"/>
        <w:lang w:val="es-CO"/>
      </w:rPr>
      <w:tab/>
    </w:r>
    <w:r w:rsidRPr="00C230FD">
      <w:rPr>
        <w:rFonts w:ascii="Verdana" w:hAnsi="Verdana"/>
        <w:sz w:val="18"/>
        <w:szCs w:val="18"/>
      </w:rPr>
      <w:fldChar w:fldCharType="begin"/>
    </w:r>
    <w:r w:rsidRPr="00C230FD">
      <w:rPr>
        <w:rFonts w:ascii="Verdana" w:hAnsi="Verdana"/>
        <w:sz w:val="18"/>
        <w:szCs w:val="18"/>
      </w:rPr>
      <w:instrText>PAGE   \* MERGEFORMAT</w:instrText>
    </w:r>
    <w:r w:rsidRPr="00C230FD">
      <w:rPr>
        <w:rFonts w:ascii="Verdana" w:hAnsi="Verdana"/>
        <w:sz w:val="18"/>
        <w:szCs w:val="18"/>
      </w:rPr>
      <w:fldChar w:fldCharType="separate"/>
    </w:r>
    <w:r w:rsidR="002C6585" w:rsidRPr="002C6585">
      <w:rPr>
        <w:rFonts w:ascii="Verdana" w:hAnsi="Verdana"/>
        <w:noProof/>
        <w:sz w:val="18"/>
        <w:szCs w:val="18"/>
        <w:lang w:val="es-ES"/>
      </w:rPr>
      <w:t>1</w:t>
    </w:r>
    <w:r w:rsidRPr="00C230FD">
      <w:rPr>
        <w:rFonts w:ascii="Verdana" w:hAnsi="Verdan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D1FEF" w14:textId="77777777" w:rsidR="005E76E6" w:rsidRDefault="005E76E6" w:rsidP="004D7254">
      <w:pPr>
        <w:spacing w:after="0" w:line="240" w:lineRule="auto"/>
      </w:pPr>
      <w:r>
        <w:separator/>
      </w:r>
    </w:p>
  </w:footnote>
  <w:footnote w:type="continuationSeparator" w:id="0">
    <w:p w14:paraId="629053E0" w14:textId="77777777" w:rsidR="005E76E6" w:rsidRDefault="005E76E6" w:rsidP="004D72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E6B7A" w14:textId="118509CA" w:rsidR="00AC6CA4" w:rsidRDefault="00B713B8" w:rsidP="00AC6CA4">
    <w:pPr>
      <w:pStyle w:val="Encabezado"/>
      <w:jc w:val="right"/>
    </w:pPr>
    <w:r>
      <w:rPr>
        <w:noProof/>
      </w:rPr>
      <w:drawing>
        <wp:anchor distT="0" distB="0" distL="114300" distR="114300" simplePos="0" relativeHeight="251658240" behindDoc="0" locked="0" layoutInCell="1" allowOverlap="1" wp14:anchorId="37D54640" wp14:editId="4A3C6D69">
          <wp:simplePos x="0" y="0"/>
          <wp:positionH relativeFrom="margin">
            <wp:posOffset>2381250</wp:posOffset>
          </wp:positionH>
          <wp:positionV relativeFrom="margin">
            <wp:posOffset>-695960</wp:posOffset>
          </wp:positionV>
          <wp:extent cx="848360" cy="590550"/>
          <wp:effectExtent l="0" t="0" r="8890" b="0"/>
          <wp:wrapSquare wrapText="bothSides"/>
          <wp:docPr id="1198174471" name="Imagen 1198174471" descr="Imagen que contiene 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174471" name="Imagen 1198174471" descr="Imagen que contiene Interfaz de usuario gráfic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848360" cy="590550"/>
                  </a:xfrm>
                  <a:prstGeom prst="rect">
                    <a:avLst/>
                  </a:prstGeom>
                </pic:spPr>
              </pic:pic>
            </a:graphicData>
          </a:graphic>
          <wp14:sizeRelH relativeFrom="margin">
            <wp14:pctWidth>0</wp14:pctWidth>
          </wp14:sizeRelH>
          <wp14:sizeRelV relativeFrom="margin">
            <wp14:pctHeight>0</wp14:pctHeight>
          </wp14:sizeRelV>
        </wp:anchor>
      </w:drawing>
    </w:r>
  </w:p>
  <w:p w14:paraId="3C5DD3E7" w14:textId="77777777" w:rsidR="00AC6CA4" w:rsidRDefault="00AC6CA4" w:rsidP="00AC6CA4">
    <w:pPr>
      <w:pStyle w:val="Encabezado"/>
      <w:jc w:val="right"/>
    </w:pPr>
  </w:p>
  <w:p w14:paraId="769721AD" w14:textId="77777777" w:rsidR="00AC6CA4" w:rsidRDefault="00AC6CA4" w:rsidP="00AC6CA4">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F1AC1"/>
    <w:multiLevelType w:val="hybridMultilevel"/>
    <w:tmpl w:val="7E1675C4"/>
    <w:lvl w:ilvl="0" w:tplc="0660F248">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252A6D96"/>
    <w:multiLevelType w:val="hybridMultilevel"/>
    <w:tmpl w:val="E8E8CDEE"/>
    <w:lvl w:ilvl="0" w:tplc="D694742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66386B"/>
    <w:multiLevelType w:val="hybridMultilevel"/>
    <w:tmpl w:val="AE56A456"/>
    <w:lvl w:ilvl="0" w:tplc="D93435EA">
      <w:start w:val="5"/>
      <w:numFmt w:val="bullet"/>
      <w:lvlText w:val="-"/>
      <w:lvlJc w:val="left"/>
      <w:pPr>
        <w:ind w:left="720" w:hanging="360"/>
      </w:pPr>
      <w:rPr>
        <w:rFonts w:ascii="Arial Narrow" w:eastAsiaTheme="minorHAnsi"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76B1BB3"/>
    <w:multiLevelType w:val="hybridMultilevel"/>
    <w:tmpl w:val="326E2356"/>
    <w:lvl w:ilvl="0" w:tplc="1CAA036C">
      <w:start w:val="1"/>
      <w:numFmt w:val="decimal"/>
      <w:lvlText w:val="%1."/>
      <w:lvlJc w:val="left"/>
      <w:pPr>
        <w:ind w:left="720" w:hanging="360"/>
      </w:pPr>
      <w:rPr>
        <w:rFonts w:hint="default"/>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F5830E7"/>
    <w:multiLevelType w:val="hybridMultilevel"/>
    <w:tmpl w:val="A50E90F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5C523F9"/>
    <w:multiLevelType w:val="hybridMultilevel"/>
    <w:tmpl w:val="9AB21C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D7932C6"/>
    <w:multiLevelType w:val="hybridMultilevel"/>
    <w:tmpl w:val="1166F06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81804450">
    <w:abstractNumId w:val="0"/>
  </w:num>
  <w:num w:numId="2" w16cid:durableId="2014796344">
    <w:abstractNumId w:val="1"/>
  </w:num>
  <w:num w:numId="3" w16cid:durableId="1000238494">
    <w:abstractNumId w:val="3"/>
  </w:num>
  <w:num w:numId="4" w16cid:durableId="1987665869">
    <w:abstractNumId w:val="2"/>
  </w:num>
  <w:num w:numId="5" w16cid:durableId="1419133188">
    <w:abstractNumId w:val="4"/>
  </w:num>
  <w:num w:numId="6" w16cid:durableId="1208956816">
    <w:abstractNumId w:val="5"/>
  </w:num>
  <w:num w:numId="7" w16cid:durableId="68314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1457"/>
    <w:rsid w:val="000026E1"/>
    <w:rsid w:val="00005D12"/>
    <w:rsid w:val="00007AE2"/>
    <w:rsid w:val="00015CD4"/>
    <w:rsid w:val="00015EBD"/>
    <w:rsid w:val="0002368D"/>
    <w:rsid w:val="00023E0D"/>
    <w:rsid w:val="000303E2"/>
    <w:rsid w:val="0003277C"/>
    <w:rsid w:val="00040539"/>
    <w:rsid w:val="000461E5"/>
    <w:rsid w:val="00065CDF"/>
    <w:rsid w:val="00065D46"/>
    <w:rsid w:val="000771CD"/>
    <w:rsid w:val="00086AE7"/>
    <w:rsid w:val="00090F48"/>
    <w:rsid w:val="0009720E"/>
    <w:rsid w:val="000A4FBB"/>
    <w:rsid w:val="000B1EE2"/>
    <w:rsid w:val="000C4438"/>
    <w:rsid w:val="000C447B"/>
    <w:rsid w:val="000C7535"/>
    <w:rsid w:val="000D4DB4"/>
    <w:rsid w:val="000D79CA"/>
    <w:rsid w:val="000E1564"/>
    <w:rsid w:val="000E234D"/>
    <w:rsid w:val="000F6922"/>
    <w:rsid w:val="00111AA8"/>
    <w:rsid w:val="001265A9"/>
    <w:rsid w:val="00126C30"/>
    <w:rsid w:val="00127D87"/>
    <w:rsid w:val="00142A47"/>
    <w:rsid w:val="001517A0"/>
    <w:rsid w:val="00154CA5"/>
    <w:rsid w:val="00157F68"/>
    <w:rsid w:val="001632BE"/>
    <w:rsid w:val="00165A10"/>
    <w:rsid w:val="00176E08"/>
    <w:rsid w:val="0019288E"/>
    <w:rsid w:val="00197A2F"/>
    <w:rsid w:val="001A04B1"/>
    <w:rsid w:val="001C068B"/>
    <w:rsid w:val="001D2F21"/>
    <w:rsid w:val="001E2CA3"/>
    <w:rsid w:val="001E4796"/>
    <w:rsid w:val="00200D91"/>
    <w:rsid w:val="00202596"/>
    <w:rsid w:val="002064F6"/>
    <w:rsid w:val="00216960"/>
    <w:rsid w:val="002273F7"/>
    <w:rsid w:val="0024179E"/>
    <w:rsid w:val="00241D34"/>
    <w:rsid w:val="00256B5F"/>
    <w:rsid w:val="00270378"/>
    <w:rsid w:val="00287B35"/>
    <w:rsid w:val="002A2407"/>
    <w:rsid w:val="002A71AC"/>
    <w:rsid w:val="002B1110"/>
    <w:rsid w:val="002B50E9"/>
    <w:rsid w:val="002B5F25"/>
    <w:rsid w:val="002C172D"/>
    <w:rsid w:val="002C2182"/>
    <w:rsid w:val="002C58EB"/>
    <w:rsid w:val="002C6585"/>
    <w:rsid w:val="002D1FF4"/>
    <w:rsid w:val="002D4CF5"/>
    <w:rsid w:val="002E05A8"/>
    <w:rsid w:val="002E07DA"/>
    <w:rsid w:val="002E1A59"/>
    <w:rsid w:val="002E1DEC"/>
    <w:rsid w:val="002E3762"/>
    <w:rsid w:val="002E39DC"/>
    <w:rsid w:val="002F086F"/>
    <w:rsid w:val="003202C5"/>
    <w:rsid w:val="00322AD5"/>
    <w:rsid w:val="00322B87"/>
    <w:rsid w:val="00331457"/>
    <w:rsid w:val="00334A67"/>
    <w:rsid w:val="00344DD3"/>
    <w:rsid w:val="0034672F"/>
    <w:rsid w:val="00362745"/>
    <w:rsid w:val="00364762"/>
    <w:rsid w:val="003660BF"/>
    <w:rsid w:val="003859E0"/>
    <w:rsid w:val="00395DC0"/>
    <w:rsid w:val="00397847"/>
    <w:rsid w:val="003A5B18"/>
    <w:rsid w:val="003A60B2"/>
    <w:rsid w:val="003B13C4"/>
    <w:rsid w:val="003C50E5"/>
    <w:rsid w:val="003C5DC5"/>
    <w:rsid w:val="003D04FA"/>
    <w:rsid w:val="003D7A15"/>
    <w:rsid w:val="003E2F59"/>
    <w:rsid w:val="003E7942"/>
    <w:rsid w:val="004151DD"/>
    <w:rsid w:val="0042584E"/>
    <w:rsid w:val="00436C52"/>
    <w:rsid w:val="004403CC"/>
    <w:rsid w:val="00444DAC"/>
    <w:rsid w:val="00453C04"/>
    <w:rsid w:val="004609D2"/>
    <w:rsid w:val="00460A74"/>
    <w:rsid w:val="00461889"/>
    <w:rsid w:val="00466D88"/>
    <w:rsid w:val="00470D6E"/>
    <w:rsid w:val="00474804"/>
    <w:rsid w:val="004813AF"/>
    <w:rsid w:val="004842FD"/>
    <w:rsid w:val="00495E31"/>
    <w:rsid w:val="004B0D0D"/>
    <w:rsid w:val="004B6E7E"/>
    <w:rsid w:val="004B7650"/>
    <w:rsid w:val="004C575E"/>
    <w:rsid w:val="004D5CAE"/>
    <w:rsid w:val="004D7254"/>
    <w:rsid w:val="004E4933"/>
    <w:rsid w:val="004F2E65"/>
    <w:rsid w:val="004F7375"/>
    <w:rsid w:val="005011E9"/>
    <w:rsid w:val="00502E9C"/>
    <w:rsid w:val="005066E5"/>
    <w:rsid w:val="00511DE5"/>
    <w:rsid w:val="005239C1"/>
    <w:rsid w:val="00525F04"/>
    <w:rsid w:val="00526889"/>
    <w:rsid w:val="00534E20"/>
    <w:rsid w:val="0053639C"/>
    <w:rsid w:val="00553307"/>
    <w:rsid w:val="00554CA9"/>
    <w:rsid w:val="0056185F"/>
    <w:rsid w:val="00580BCC"/>
    <w:rsid w:val="00596910"/>
    <w:rsid w:val="005B0784"/>
    <w:rsid w:val="005B64B8"/>
    <w:rsid w:val="005C22E4"/>
    <w:rsid w:val="005C5907"/>
    <w:rsid w:val="005D47F6"/>
    <w:rsid w:val="005E28F4"/>
    <w:rsid w:val="005E76E6"/>
    <w:rsid w:val="005F4FF6"/>
    <w:rsid w:val="005F7DED"/>
    <w:rsid w:val="0060177A"/>
    <w:rsid w:val="00604753"/>
    <w:rsid w:val="006122DE"/>
    <w:rsid w:val="00617DC7"/>
    <w:rsid w:val="006230F1"/>
    <w:rsid w:val="00623B47"/>
    <w:rsid w:val="00625EE4"/>
    <w:rsid w:val="00630631"/>
    <w:rsid w:val="00634606"/>
    <w:rsid w:val="00647871"/>
    <w:rsid w:val="00650B5B"/>
    <w:rsid w:val="00654682"/>
    <w:rsid w:val="00663F20"/>
    <w:rsid w:val="00672B6D"/>
    <w:rsid w:val="006802F1"/>
    <w:rsid w:val="006878F2"/>
    <w:rsid w:val="00695C63"/>
    <w:rsid w:val="006A1DA4"/>
    <w:rsid w:val="006B78DE"/>
    <w:rsid w:val="006C3E12"/>
    <w:rsid w:val="006C67B6"/>
    <w:rsid w:val="006D218B"/>
    <w:rsid w:val="006E4C58"/>
    <w:rsid w:val="006E5C4D"/>
    <w:rsid w:val="006E6AEC"/>
    <w:rsid w:val="006F3E1E"/>
    <w:rsid w:val="006F4B1F"/>
    <w:rsid w:val="00701BA7"/>
    <w:rsid w:val="00703F2B"/>
    <w:rsid w:val="00720D28"/>
    <w:rsid w:val="007514D5"/>
    <w:rsid w:val="00755692"/>
    <w:rsid w:val="00756447"/>
    <w:rsid w:val="00756C26"/>
    <w:rsid w:val="00770CD3"/>
    <w:rsid w:val="00775802"/>
    <w:rsid w:val="00781D02"/>
    <w:rsid w:val="00786BC1"/>
    <w:rsid w:val="007A27DE"/>
    <w:rsid w:val="007A4DFC"/>
    <w:rsid w:val="007A635D"/>
    <w:rsid w:val="007B085D"/>
    <w:rsid w:val="007B0D61"/>
    <w:rsid w:val="007B2C50"/>
    <w:rsid w:val="007B375C"/>
    <w:rsid w:val="007C243B"/>
    <w:rsid w:val="007C668A"/>
    <w:rsid w:val="007E5231"/>
    <w:rsid w:val="00803F2E"/>
    <w:rsid w:val="00823E96"/>
    <w:rsid w:val="00825D47"/>
    <w:rsid w:val="0083168F"/>
    <w:rsid w:val="0084408F"/>
    <w:rsid w:val="008475B7"/>
    <w:rsid w:val="00847B9F"/>
    <w:rsid w:val="008510BC"/>
    <w:rsid w:val="00857EC9"/>
    <w:rsid w:val="00861203"/>
    <w:rsid w:val="008A018D"/>
    <w:rsid w:val="008A6E72"/>
    <w:rsid w:val="008A721F"/>
    <w:rsid w:val="008B3398"/>
    <w:rsid w:val="008C48CD"/>
    <w:rsid w:val="008C7EC3"/>
    <w:rsid w:val="008D4750"/>
    <w:rsid w:val="008E3B66"/>
    <w:rsid w:val="008F5562"/>
    <w:rsid w:val="00916A7C"/>
    <w:rsid w:val="00930436"/>
    <w:rsid w:val="009411F1"/>
    <w:rsid w:val="00945344"/>
    <w:rsid w:val="00962938"/>
    <w:rsid w:val="00964E04"/>
    <w:rsid w:val="00966CBC"/>
    <w:rsid w:val="00967083"/>
    <w:rsid w:val="00967684"/>
    <w:rsid w:val="0097425F"/>
    <w:rsid w:val="009763DE"/>
    <w:rsid w:val="00977BA7"/>
    <w:rsid w:val="009A0B32"/>
    <w:rsid w:val="009A0C8B"/>
    <w:rsid w:val="009A601F"/>
    <w:rsid w:val="009B58BC"/>
    <w:rsid w:val="009C7A9E"/>
    <w:rsid w:val="009E1F57"/>
    <w:rsid w:val="009E50B1"/>
    <w:rsid w:val="009E61FE"/>
    <w:rsid w:val="009F302B"/>
    <w:rsid w:val="009F5FAF"/>
    <w:rsid w:val="009F60F9"/>
    <w:rsid w:val="009F682E"/>
    <w:rsid w:val="00A018C1"/>
    <w:rsid w:val="00A07947"/>
    <w:rsid w:val="00A150F8"/>
    <w:rsid w:val="00A41344"/>
    <w:rsid w:val="00A4195E"/>
    <w:rsid w:val="00A53A8D"/>
    <w:rsid w:val="00A53BEB"/>
    <w:rsid w:val="00A66012"/>
    <w:rsid w:val="00A66672"/>
    <w:rsid w:val="00A66959"/>
    <w:rsid w:val="00A737A9"/>
    <w:rsid w:val="00A8290C"/>
    <w:rsid w:val="00AA0A4C"/>
    <w:rsid w:val="00AA538D"/>
    <w:rsid w:val="00AB76EC"/>
    <w:rsid w:val="00AC44BE"/>
    <w:rsid w:val="00AC56E8"/>
    <w:rsid w:val="00AC643A"/>
    <w:rsid w:val="00AC6CA4"/>
    <w:rsid w:val="00AC710B"/>
    <w:rsid w:val="00AE00D6"/>
    <w:rsid w:val="00AE2B9D"/>
    <w:rsid w:val="00AE3C79"/>
    <w:rsid w:val="00B0460F"/>
    <w:rsid w:val="00B056E2"/>
    <w:rsid w:val="00B05CA5"/>
    <w:rsid w:val="00B06FE9"/>
    <w:rsid w:val="00B20944"/>
    <w:rsid w:val="00B2272F"/>
    <w:rsid w:val="00B3116D"/>
    <w:rsid w:val="00B35186"/>
    <w:rsid w:val="00B371E1"/>
    <w:rsid w:val="00B40F0A"/>
    <w:rsid w:val="00B62CBA"/>
    <w:rsid w:val="00B70A6E"/>
    <w:rsid w:val="00B713B8"/>
    <w:rsid w:val="00B718B5"/>
    <w:rsid w:val="00B71D7E"/>
    <w:rsid w:val="00BA71D1"/>
    <w:rsid w:val="00BA7B75"/>
    <w:rsid w:val="00BB1CF6"/>
    <w:rsid w:val="00BB20D3"/>
    <w:rsid w:val="00BC56D7"/>
    <w:rsid w:val="00BD63C6"/>
    <w:rsid w:val="00BF7EDF"/>
    <w:rsid w:val="00C11881"/>
    <w:rsid w:val="00C17AAB"/>
    <w:rsid w:val="00C253CD"/>
    <w:rsid w:val="00C302F5"/>
    <w:rsid w:val="00C33C3D"/>
    <w:rsid w:val="00C37F77"/>
    <w:rsid w:val="00C45341"/>
    <w:rsid w:val="00C5348B"/>
    <w:rsid w:val="00C6150C"/>
    <w:rsid w:val="00C76078"/>
    <w:rsid w:val="00C868CB"/>
    <w:rsid w:val="00CA25A2"/>
    <w:rsid w:val="00CA2F54"/>
    <w:rsid w:val="00CD7F19"/>
    <w:rsid w:val="00CE1EB8"/>
    <w:rsid w:val="00CE583E"/>
    <w:rsid w:val="00D13A59"/>
    <w:rsid w:val="00D270CE"/>
    <w:rsid w:val="00D41D90"/>
    <w:rsid w:val="00D52FAC"/>
    <w:rsid w:val="00D54626"/>
    <w:rsid w:val="00D601A8"/>
    <w:rsid w:val="00D81A4E"/>
    <w:rsid w:val="00D8433F"/>
    <w:rsid w:val="00D85031"/>
    <w:rsid w:val="00DA6C56"/>
    <w:rsid w:val="00DA6F21"/>
    <w:rsid w:val="00DC61F6"/>
    <w:rsid w:val="00DC6945"/>
    <w:rsid w:val="00DE30A9"/>
    <w:rsid w:val="00DE7F72"/>
    <w:rsid w:val="00E006B3"/>
    <w:rsid w:val="00E07E91"/>
    <w:rsid w:val="00E13D2F"/>
    <w:rsid w:val="00E161BA"/>
    <w:rsid w:val="00E17A6B"/>
    <w:rsid w:val="00E21CD0"/>
    <w:rsid w:val="00E26BA2"/>
    <w:rsid w:val="00E3495B"/>
    <w:rsid w:val="00E42C5B"/>
    <w:rsid w:val="00E436B9"/>
    <w:rsid w:val="00E50514"/>
    <w:rsid w:val="00E5328E"/>
    <w:rsid w:val="00E6695A"/>
    <w:rsid w:val="00E704F8"/>
    <w:rsid w:val="00E81B3F"/>
    <w:rsid w:val="00E84A69"/>
    <w:rsid w:val="00E926C7"/>
    <w:rsid w:val="00E96BC1"/>
    <w:rsid w:val="00EA45DC"/>
    <w:rsid w:val="00EB2BE8"/>
    <w:rsid w:val="00EC4111"/>
    <w:rsid w:val="00F012BB"/>
    <w:rsid w:val="00F10F86"/>
    <w:rsid w:val="00F11396"/>
    <w:rsid w:val="00F219FD"/>
    <w:rsid w:val="00F2663E"/>
    <w:rsid w:val="00F34C83"/>
    <w:rsid w:val="00F42D90"/>
    <w:rsid w:val="00F45877"/>
    <w:rsid w:val="00F464D6"/>
    <w:rsid w:val="00F73ADA"/>
    <w:rsid w:val="00F82635"/>
    <w:rsid w:val="00F82B7A"/>
    <w:rsid w:val="00F904EC"/>
    <w:rsid w:val="00FA4ABC"/>
    <w:rsid w:val="00FB4BCB"/>
    <w:rsid w:val="00FF6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324FB"/>
  <w15:docId w15:val="{810A4105-D701-4545-AA0B-6C771A81D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unhideWhenUsed/>
    <w:qFormat/>
    <w:rsid w:val="00086AE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4D725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D7254"/>
    <w:rPr>
      <w:sz w:val="20"/>
      <w:szCs w:val="20"/>
    </w:rPr>
  </w:style>
  <w:style w:type="character" w:styleId="Refdenotaalpie">
    <w:name w:val="footnote reference"/>
    <w:basedOn w:val="Fuentedeprrafopredeter"/>
    <w:uiPriority w:val="99"/>
    <w:semiHidden/>
    <w:unhideWhenUsed/>
    <w:rsid w:val="004D7254"/>
    <w:rPr>
      <w:vertAlign w:val="superscript"/>
    </w:rPr>
  </w:style>
  <w:style w:type="paragraph" w:styleId="Prrafodelista">
    <w:name w:val="List Paragraph"/>
    <w:basedOn w:val="Normal"/>
    <w:uiPriority w:val="34"/>
    <w:qFormat/>
    <w:rsid w:val="00444DAC"/>
    <w:pPr>
      <w:ind w:left="720"/>
      <w:contextualSpacing/>
    </w:pPr>
  </w:style>
  <w:style w:type="paragraph" w:styleId="Encabezado">
    <w:name w:val="header"/>
    <w:basedOn w:val="Normal"/>
    <w:link w:val="EncabezadoCar"/>
    <w:uiPriority w:val="99"/>
    <w:unhideWhenUsed/>
    <w:rsid w:val="00AC6CA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6CA4"/>
  </w:style>
  <w:style w:type="paragraph" w:styleId="Piedepgina">
    <w:name w:val="footer"/>
    <w:basedOn w:val="Normal"/>
    <w:link w:val="PiedepginaCar"/>
    <w:uiPriority w:val="99"/>
    <w:unhideWhenUsed/>
    <w:rsid w:val="00AC6CA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6CA4"/>
  </w:style>
  <w:style w:type="character" w:styleId="Hipervnculo">
    <w:name w:val="Hyperlink"/>
    <w:uiPriority w:val="99"/>
    <w:unhideWhenUsed/>
    <w:rsid w:val="00007AE2"/>
    <w:rPr>
      <w:color w:val="0000FF"/>
      <w:u w:val="single"/>
    </w:rPr>
  </w:style>
  <w:style w:type="paragraph" w:styleId="Textodeglobo">
    <w:name w:val="Balloon Text"/>
    <w:basedOn w:val="Normal"/>
    <w:link w:val="TextodegloboCar"/>
    <w:uiPriority w:val="99"/>
    <w:semiHidden/>
    <w:unhideWhenUsed/>
    <w:rsid w:val="00005D1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05D12"/>
    <w:rPr>
      <w:rFonts w:ascii="Segoe UI" w:hAnsi="Segoe UI" w:cs="Segoe UI"/>
      <w:sz w:val="18"/>
      <w:szCs w:val="18"/>
    </w:rPr>
  </w:style>
  <w:style w:type="table" w:styleId="Tablaconcuadrcula">
    <w:name w:val="Table Grid"/>
    <w:basedOn w:val="Tablanormal"/>
    <w:uiPriority w:val="39"/>
    <w:rsid w:val="000405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66E5"/>
    <w:pPr>
      <w:autoSpaceDE w:val="0"/>
      <w:autoSpaceDN w:val="0"/>
      <w:adjustRightInd w:val="0"/>
      <w:spacing w:after="0" w:line="240" w:lineRule="auto"/>
    </w:pPr>
    <w:rPr>
      <w:rFonts w:ascii="Times New Roman" w:hAnsi="Times New Roman" w:cs="Times New Roman"/>
      <w:color w:val="000000"/>
      <w:sz w:val="24"/>
      <w:szCs w:val="24"/>
      <w:lang w:val="es-CO"/>
    </w:rPr>
  </w:style>
  <w:style w:type="character" w:customStyle="1" w:styleId="Ttulo2Car">
    <w:name w:val="Título 2 Car"/>
    <w:basedOn w:val="Fuentedeprrafopredeter"/>
    <w:link w:val="Ttulo2"/>
    <w:uiPriority w:val="9"/>
    <w:rsid w:val="00086AE7"/>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963781">
      <w:bodyDiv w:val="1"/>
      <w:marLeft w:val="0"/>
      <w:marRight w:val="0"/>
      <w:marTop w:val="0"/>
      <w:marBottom w:val="0"/>
      <w:divBdr>
        <w:top w:val="none" w:sz="0" w:space="0" w:color="auto"/>
        <w:left w:val="none" w:sz="0" w:space="0" w:color="auto"/>
        <w:bottom w:val="none" w:sz="0" w:space="0" w:color="auto"/>
        <w:right w:val="none" w:sz="0" w:space="0" w:color="auto"/>
      </w:divBdr>
    </w:div>
    <w:div w:id="836503885">
      <w:bodyDiv w:val="1"/>
      <w:marLeft w:val="0"/>
      <w:marRight w:val="0"/>
      <w:marTop w:val="0"/>
      <w:marBottom w:val="0"/>
      <w:divBdr>
        <w:top w:val="none" w:sz="0" w:space="0" w:color="auto"/>
        <w:left w:val="none" w:sz="0" w:space="0" w:color="auto"/>
        <w:bottom w:val="none" w:sz="0" w:space="0" w:color="auto"/>
        <w:right w:val="none" w:sz="0" w:space="0" w:color="auto"/>
      </w:divBdr>
    </w:div>
    <w:div w:id="146881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ticminambiente-my.sharepoint.com/personal/cebuitrago_minambiente_gov_co/Documents/Archivo/Herramientas/1.%20MGEPEA/13.%202026%20MGEPEA%20Elaboraci&#243;n/Plantilla%20respuesta%20comentarios%202026.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ticminambiente-my.sharepoint.com/personal/cebuitrago_minambiente_gov_co/Documents/Archivo/Herramientas/1.%20MGEPEA/13.%202026%20MGEPEA%20Elaboraci&#243;n/Plantilla%20respuesta%20comentarios%20202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ticminambiente-my.sharepoint.com/personal/cebuitrago_minambiente_gov_co/Documents/Archivo/Herramientas/1.%20MGEPEA/13.%202026%20MGEPEA%20Elaboraci&#243;n/Plantilla%20respuesta%20comentarios%202026.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1" Type="http://schemas.openxmlformats.org/officeDocument/2006/relationships/oleObject" Target="https://ticminambiente-my.sharepoint.com/personal/cebuitrago_minambiente_gov_co/Documents/Archivo/Herramientas/1.%20MGEPEA/13.%202026%20MGEPEA%20Elaboraci&#243;n/Plantilla%20respuesta%20comentarios%202026.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ttps://ticminambiente-my.sharepoint.com/personal/cebuitrago_minambiente_gov_co/Documents/Archivo/Herramientas/1.%20MGEPEA/13.%202026%20MGEPEA%20Elaboraci&#243;n/Plantilla%20respuesta%20comentarios%20202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[Plantilla respuesta comentarios 2026.xlsx]Gráficas!TablaDinámica3</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0"/>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0"/>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0"/>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Gráficas!$C$3</c:f>
              <c:strCache>
                <c:ptCount val="1"/>
                <c:pt idx="0">
                  <c:v>Cuenta de Comentario y justificación del cambio sugerido por el actor</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Gráficas!$B$4:$B$54</c:f>
              <c:strCache>
                <c:ptCount val="50"/>
                <c:pt idx="0">
                  <c:v>Lineamientos de participación</c:v>
                </c:pt>
                <c:pt idx="1">
                  <c:v>Cambio climático</c:v>
                </c:pt>
                <c:pt idx="2">
                  <c:v>Caracterización socioeconómica</c:v>
                </c:pt>
                <c:pt idx="3">
                  <c:v>Evaluación ambiental</c:v>
                </c:pt>
                <c:pt idx="4">
                  <c:v>Derechos humanos</c:v>
                </c:pt>
                <c:pt idx="5">
                  <c:v>Uso y aprovechamiento de recursos naturales</c:v>
                </c:pt>
                <c:pt idx="6">
                  <c:v>Caracterización biótica / fauna</c:v>
                </c:pt>
                <c:pt idx="7">
                  <c:v>Riesgos</c:v>
                </c:pt>
                <c:pt idx="8">
                  <c:v>Caracterización hidrológica</c:v>
                </c:pt>
                <c:pt idx="9">
                  <c:v>Área de influencia / Biótica</c:v>
                </c:pt>
                <c:pt idx="10">
                  <c:v>General</c:v>
                </c:pt>
                <c:pt idx="11">
                  <c:v>Caracterización hidrogeológica</c:v>
                </c:pt>
                <c:pt idx="12">
                  <c:v>Fuentes y presentación</c:v>
                </c:pt>
                <c:pt idx="13">
                  <c:v>Descripción del proyecto</c:v>
                </c:pt>
                <c:pt idx="14">
                  <c:v>Área de influencia / Abiótica</c:v>
                </c:pt>
                <c:pt idx="15">
                  <c:v>Caracterización biótica / ecosistemas acuáticos</c:v>
                </c:pt>
                <c:pt idx="16">
                  <c:v>Caracterización biótica / flora</c:v>
                </c:pt>
                <c:pt idx="17">
                  <c:v>Caracterización geo</c:v>
                </c:pt>
                <c:pt idx="18">
                  <c:v>Área de influencia</c:v>
                </c:pt>
                <c:pt idx="19">
                  <c:v>Área de estudio</c:v>
                </c:pt>
                <c:pt idx="20">
                  <c:v>Zonificación ambiental</c:v>
                </c:pt>
                <c:pt idx="21">
                  <c:v>Servicios ecosistémicos</c:v>
                </c:pt>
                <c:pt idx="22">
                  <c:v>Caracterización atmosférica</c:v>
                </c:pt>
                <c:pt idx="23">
                  <c:v>Área de influencia / Socioeconómica</c:v>
                </c:pt>
                <c:pt idx="24">
                  <c:v>Resolución</c:v>
                </c:pt>
                <c:pt idx="25">
                  <c:v>Plan de manejo ambiental</c:v>
                </c:pt>
                <c:pt idx="26">
                  <c:v>Caracterización general</c:v>
                </c:pt>
                <c:pt idx="27">
                  <c:v>Comparación de alternativas</c:v>
                </c:pt>
                <c:pt idx="28">
                  <c:v>MAG</c:v>
                </c:pt>
                <c:pt idx="29">
                  <c:v>Caracterización Suelos</c:v>
                </c:pt>
                <c:pt idx="30">
                  <c:v>Reasentamiento involuntario</c:v>
                </c:pt>
                <c:pt idx="31">
                  <c:v>Paisaje</c:v>
                </c:pt>
                <c:pt idx="32">
                  <c:v>Evaluación económica ambiental</c:v>
                </c:pt>
                <c:pt idx="33">
                  <c:v>Caracterización biótica / ecosistemas terrestres</c:v>
                </c:pt>
                <c:pt idx="34">
                  <c:v>Conectividad - fragmentación</c:v>
                </c:pt>
                <c:pt idx="35">
                  <c:v>Caracterización uso de las tierras</c:v>
                </c:pt>
                <c:pt idx="36">
                  <c:v>Plan de seguimiento y monitoreo</c:v>
                </c:pt>
                <c:pt idx="37">
                  <c:v>Plan de desmantelamiento y abandono</c:v>
                </c:pt>
                <c:pt idx="38">
                  <c:v>Zonificación de manejo ambiental</c:v>
                </c:pt>
                <c:pt idx="39">
                  <c:v>Redacción, numeración, referencias.</c:v>
                </c:pt>
                <c:pt idx="40">
                  <c:v>Caracterización ruido</c:v>
                </c:pt>
                <c:pt idx="41">
                  <c:v>Glosario y acrónimos</c:v>
                </c:pt>
                <c:pt idx="42">
                  <c:v>Generalidades DAA</c:v>
                </c:pt>
                <c:pt idx="43">
                  <c:v>Cartografía</c:v>
                </c:pt>
                <c:pt idx="44">
                  <c:v>Caracterización biótica / ecosistemas</c:v>
                </c:pt>
                <c:pt idx="45">
                  <c:v>Salud</c:v>
                </c:pt>
                <c:pt idx="46">
                  <c:v>Áreas de Especial Interés Ambiental</c:v>
                </c:pt>
                <c:pt idx="47">
                  <c:v>Plan de compensaciones</c:v>
                </c:pt>
                <c:pt idx="48">
                  <c:v>Caracterización oceanografía</c:v>
                </c:pt>
                <c:pt idx="49">
                  <c:v>Bioacústica</c:v>
                </c:pt>
              </c:strCache>
            </c:strRef>
          </c:cat>
          <c:val>
            <c:numRef>
              <c:f>Gráficas!$C$4:$C$54</c:f>
              <c:numCache>
                <c:formatCode>General</c:formatCode>
                <c:ptCount val="50"/>
                <c:pt idx="0">
                  <c:v>224</c:v>
                </c:pt>
                <c:pt idx="1">
                  <c:v>122</c:v>
                </c:pt>
                <c:pt idx="2">
                  <c:v>114</c:v>
                </c:pt>
                <c:pt idx="3">
                  <c:v>83</c:v>
                </c:pt>
                <c:pt idx="4">
                  <c:v>60</c:v>
                </c:pt>
                <c:pt idx="5">
                  <c:v>53</c:v>
                </c:pt>
                <c:pt idx="6">
                  <c:v>52</c:v>
                </c:pt>
                <c:pt idx="7">
                  <c:v>48</c:v>
                </c:pt>
                <c:pt idx="8">
                  <c:v>47</c:v>
                </c:pt>
                <c:pt idx="9">
                  <c:v>37</c:v>
                </c:pt>
                <c:pt idx="10">
                  <c:v>35</c:v>
                </c:pt>
                <c:pt idx="11">
                  <c:v>34</c:v>
                </c:pt>
                <c:pt idx="12">
                  <c:v>32</c:v>
                </c:pt>
                <c:pt idx="13">
                  <c:v>29</c:v>
                </c:pt>
                <c:pt idx="14">
                  <c:v>28</c:v>
                </c:pt>
                <c:pt idx="15">
                  <c:v>28</c:v>
                </c:pt>
                <c:pt idx="16">
                  <c:v>25</c:v>
                </c:pt>
                <c:pt idx="17">
                  <c:v>24</c:v>
                </c:pt>
                <c:pt idx="18">
                  <c:v>24</c:v>
                </c:pt>
                <c:pt idx="19">
                  <c:v>23</c:v>
                </c:pt>
                <c:pt idx="20">
                  <c:v>23</c:v>
                </c:pt>
                <c:pt idx="21">
                  <c:v>21</c:v>
                </c:pt>
                <c:pt idx="22">
                  <c:v>20</c:v>
                </c:pt>
                <c:pt idx="23">
                  <c:v>19</c:v>
                </c:pt>
                <c:pt idx="24">
                  <c:v>19</c:v>
                </c:pt>
                <c:pt idx="25">
                  <c:v>18</c:v>
                </c:pt>
                <c:pt idx="26">
                  <c:v>15</c:v>
                </c:pt>
                <c:pt idx="27">
                  <c:v>14</c:v>
                </c:pt>
                <c:pt idx="28">
                  <c:v>13</c:v>
                </c:pt>
                <c:pt idx="29">
                  <c:v>13</c:v>
                </c:pt>
                <c:pt idx="30">
                  <c:v>12</c:v>
                </c:pt>
                <c:pt idx="31">
                  <c:v>11</c:v>
                </c:pt>
                <c:pt idx="32">
                  <c:v>11</c:v>
                </c:pt>
                <c:pt idx="33">
                  <c:v>10</c:v>
                </c:pt>
                <c:pt idx="34">
                  <c:v>9</c:v>
                </c:pt>
                <c:pt idx="35">
                  <c:v>9</c:v>
                </c:pt>
                <c:pt idx="36">
                  <c:v>7</c:v>
                </c:pt>
                <c:pt idx="37">
                  <c:v>7</c:v>
                </c:pt>
                <c:pt idx="38">
                  <c:v>6</c:v>
                </c:pt>
                <c:pt idx="39">
                  <c:v>6</c:v>
                </c:pt>
                <c:pt idx="40">
                  <c:v>3</c:v>
                </c:pt>
                <c:pt idx="41">
                  <c:v>3</c:v>
                </c:pt>
                <c:pt idx="42">
                  <c:v>2</c:v>
                </c:pt>
                <c:pt idx="43">
                  <c:v>2</c:v>
                </c:pt>
                <c:pt idx="44">
                  <c:v>2</c:v>
                </c:pt>
                <c:pt idx="45">
                  <c:v>1</c:v>
                </c:pt>
                <c:pt idx="46">
                  <c:v>1</c:v>
                </c:pt>
                <c:pt idx="47">
                  <c:v>1</c:v>
                </c:pt>
                <c:pt idx="48">
                  <c:v>1</c:v>
                </c:pt>
                <c:pt idx="49">
                  <c:v>1</c:v>
                </c:pt>
              </c:numCache>
            </c:numRef>
          </c:val>
          <c:extLst>
            <c:ext xmlns:c16="http://schemas.microsoft.com/office/drawing/2014/chart" uri="{C3380CC4-5D6E-409C-BE32-E72D297353CC}">
              <c16:uniqueId val="{00000000-04D9-4332-BF0A-01804ECBEFE9}"/>
            </c:ext>
          </c:extLst>
        </c:ser>
        <c:ser>
          <c:idx val="1"/>
          <c:order val="1"/>
          <c:tx>
            <c:strRef>
              <c:f>Gráficas!$D$3</c:f>
              <c:strCache>
                <c:ptCount val="1"/>
                <c:pt idx="0">
                  <c:v>Cuenta de Comentario y justificación del cambio sugerido por el actor2</c:v>
                </c:pt>
              </c:strCache>
            </c:strRef>
          </c:tx>
          <c:spPr>
            <a:solidFill>
              <a:schemeClr val="accent2"/>
            </a:solidFill>
            <a:ln>
              <a:noFill/>
            </a:ln>
            <a:effectLst/>
          </c:spPr>
          <c:invertIfNegative val="0"/>
          <c:cat>
            <c:strRef>
              <c:f>Gráficas!$B$4:$B$54</c:f>
              <c:strCache>
                <c:ptCount val="50"/>
                <c:pt idx="0">
                  <c:v>Lineamientos de participación</c:v>
                </c:pt>
                <c:pt idx="1">
                  <c:v>Cambio climático</c:v>
                </c:pt>
                <c:pt idx="2">
                  <c:v>Caracterización socioeconómica</c:v>
                </c:pt>
                <c:pt idx="3">
                  <c:v>Evaluación ambiental</c:v>
                </c:pt>
                <c:pt idx="4">
                  <c:v>Derechos humanos</c:v>
                </c:pt>
                <c:pt idx="5">
                  <c:v>Uso y aprovechamiento de recursos naturales</c:v>
                </c:pt>
                <c:pt idx="6">
                  <c:v>Caracterización biótica / fauna</c:v>
                </c:pt>
                <c:pt idx="7">
                  <c:v>Riesgos</c:v>
                </c:pt>
                <c:pt idx="8">
                  <c:v>Caracterización hidrológica</c:v>
                </c:pt>
                <c:pt idx="9">
                  <c:v>Área de influencia / Biótica</c:v>
                </c:pt>
                <c:pt idx="10">
                  <c:v>General</c:v>
                </c:pt>
                <c:pt idx="11">
                  <c:v>Caracterización hidrogeológica</c:v>
                </c:pt>
                <c:pt idx="12">
                  <c:v>Fuentes y presentación</c:v>
                </c:pt>
                <c:pt idx="13">
                  <c:v>Descripción del proyecto</c:v>
                </c:pt>
                <c:pt idx="14">
                  <c:v>Área de influencia / Abiótica</c:v>
                </c:pt>
                <c:pt idx="15">
                  <c:v>Caracterización biótica / ecosistemas acuáticos</c:v>
                </c:pt>
                <c:pt idx="16">
                  <c:v>Caracterización biótica / flora</c:v>
                </c:pt>
                <c:pt idx="17">
                  <c:v>Caracterización geo</c:v>
                </c:pt>
                <c:pt idx="18">
                  <c:v>Área de influencia</c:v>
                </c:pt>
                <c:pt idx="19">
                  <c:v>Área de estudio</c:v>
                </c:pt>
                <c:pt idx="20">
                  <c:v>Zonificación ambiental</c:v>
                </c:pt>
                <c:pt idx="21">
                  <c:v>Servicios ecosistémicos</c:v>
                </c:pt>
                <c:pt idx="22">
                  <c:v>Caracterización atmosférica</c:v>
                </c:pt>
                <c:pt idx="23">
                  <c:v>Área de influencia / Socioeconómica</c:v>
                </c:pt>
                <c:pt idx="24">
                  <c:v>Resolución</c:v>
                </c:pt>
                <c:pt idx="25">
                  <c:v>Plan de manejo ambiental</c:v>
                </c:pt>
                <c:pt idx="26">
                  <c:v>Caracterización general</c:v>
                </c:pt>
                <c:pt idx="27">
                  <c:v>Comparación de alternativas</c:v>
                </c:pt>
                <c:pt idx="28">
                  <c:v>MAG</c:v>
                </c:pt>
                <c:pt idx="29">
                  <c:v>Caracterización Suelos</c:v>
                </c:pt>
                <c:pt idx="30">
                  <c:v>Reasentamiento involuntario</c:v>
                </c:pt>
                <c:pt idx="31">
                  <c:v>Paisaje</c:v>
                </c:pt>
                <c:pt idx="32">
                  <c:v>Evaluación económica ambiental</c:v>
                </c:pt>
                <c:pt idx="33">
                  <c:v>Caracterización biótica / ecosistemas terrestres</c:v>
                </c:pt>
                <c:pt idx="34">
                  <c:v>Conectividad - fragmentación</c:v>
                </c:pt>
                <c:pt idx="35">
                  <c:v>Caracterización uso de las tierras</c:v>
                </c:pt>
                <c:pt idx="36">
                  <c:v>Plan de seguimiento y monitoreo</c:v>
                </c:pt>
                <c:pt idx="37">
                  <c:v>Plan de desmantelamiento y abandono</c:v>
                </c:pt>
                <c:pt idx="38">
                  <c:v>Zonificación de manejo ambiental</c:v>
                </c:pt>
                <c:pt idx="39">
                  <c:v>Redacción, numeración, referencias.</c:v>
                </c:pt>
                <c:pt idx="40">
                  <c:v>Caracterización ruido</c:v>
                </c:pt>
                <c:pt idx="41">
                  <c:v>Glosario y acrónimos</c:v>
                </c:pt>
                <c:pt idx="42">
                  <c:v>Generalidades DAA</c:v>
                </c:pt>
                <c:pt idx="43">
                  <c:v>Cartografía</c:v>
                </c:pt>
                <c:pt idx="44">
                  <c:v>Caracterización biótica / ecosistemas</c:v>
                </c:pt>
                <c:pt idx="45">
                  <c:v>Salud</c:v>
                </c:pt>
                <c:pt idx="46">
                  <c:v>Áreas de Especial Interés Ambiental</c:v>
                </c:pt>
                <c:pt idx="47">
                  <c:v>Plan de compensaciones</c:v>
                </c:pt>
                <c:pt idx="48">
                  <c:v>Caracterización oceanografía</c:v>
                </c:pt>
                <c:pt idx="49">
                  <c:v>Bioacústica</c:v>
                </c:pt>
              </c:strCache>
            </c:strRef>
          </c:cat>
          <c:val>
            <c:numRef>
              <c:f>Gráficas!$D$4:$D$54</c:f>
              <c:numCache>
                <c:formatCode>0.00%</c:formatCode>
                <c:ptCount val="50"/>
                <c:pt idx="0">
                  <c:v>0.15977175463623394</c:v>
                </c:pt>
                <c:pt idx="1">
                  <c:v>8.7018544935805991E-2</c:v>
                </c:pt>
                <c:pt idx="2">
                  <c:v>8.1312410841654775E-2</c:v>
                </c:pt>
                <c:pt idx="3">
                  <c:v>5.9201141226818833E-2</c:v>
                </c:pt>
                <c:pt idx="4">
                  <c:v>4.2796005706134094E-2</c:v>
                </c:pt>
                <c:pt idx="5">
                  <c:v>3.7803138373751786E-2</c:v>
                </c:pt>
                <c:pt idx="6">
                  <c:v>3.7089871611982884E-2</c:v>
                </c:pt>
                <c:pt idx="7">
                  <c:v>3.4236804564907276E-2</c:v>
                </c:pt>
                <c:pt idx="8">
                  <c:v>3.3523537803138374E-2</c:v>
                </c:pt>
                <c:pt idx="9">
                  <c:v>2.6390870185449358E-2</c:v>
                </c:pt>
                <c:pt idx="10">
                  <c:v>2.4964336661911554E-2</c:v>
                </c:pt>
                <c:pt idx="11">
                  <c:v>2.4251069900142655E-2</c:v>
                </c:pt>
                <c:pt idx="12">
                  <c:v>2.2824536376604851E-2</c:v>
                </c:pt>
                <c:pt idx="13">
                  <c:v>2.0684736091298145E-2</c:v>
                </c:pt>
                <c:pt idx="14">
                  <c:v>1.9971469329529243E-2</c:v>
                </c:pt>
                <c:pt idx="15">
                  <c:v>1.9971469329529243E-2</c:v>
                </c:pt>
                <c:pt idx="16">
                  <c:v>1.783166904422254E-2</c:v>
                </c:pt>
                <c:pt idx="17">
                  <c:v>1.7118402282453638E-2</c:v>
                </c:pt>
                <c:pt idx="18">
                  <c:v>1.7118402282453638E-2</c:v>
                </c:pt>
                <c:pt idx="19">
                  <c:v>1.6405135520684736E-2</c:v>
                </c:pt>
                <c:pt idx="20">
                  <c:v>1.6405135520684736E-2</c:v>
                </c:pt>
                <c:pt idx="21">
                  <c:v>1.4978601997146932E-2</c:v>
                </c:pt>
                <c:pt idx="22">
                  <c:v>1.4265335235378032E-2</c:v>
                </c:pt>
                <c:pt idx="23">
                  <c:v>1.355206847360913E-2</c:v>
                </c:pt>
                <c:pt idx="24">
                  <c:v>1.355206847360913E-2</c:v>
                </c:pt>
                <c:pt idx="25">
                  <c:v>1.2838801711840228E-2</c:v>
                </c:pt>
                <c:pt idx="26">
                  <c:v>1.0699001426533523E-2</c:v>
                </c:pt>
                <c:pt idx="27">
                  <c:v>9.9857346647646214E-3</c:v>
                </c:pt>
                <c:pt idx="28">
                  <c:v>9.2724679029957211E-3</c:v>
                </c:pt>
                <c:pt idx="29">
                  <c:v>9.2724679029957211E-3</c:v>
                </c:pt>
                <c:pt idx="30">
                  <c:v>8.5592011412268191E-3</c:v>
                </c:pt>
                <c:pt idx="31">
                  <c:v>7.8459343794579171E-3</c:v>
                </c:pt>
                <c:pt idx="32">
                  <c:v>7.8459343794579171E-3</c:v>
                </c:pt>
                <c:pt idx="33">
                  <c:v>7.1326676176890159E-3</c:v>
                </c:pt>
                <c:pt idx="34">
                  <c:v>6.4194008559201139E-3</c:v>
                </c:pt>
                <c:pt idx="35">
                  <c:v>6.4194008559201139E-3</c:v>
                </c:pt>
                <c:pt idx="36">
                  <c:v>4.9928673323823107E-3</c:v>
                </c:pt>
                <c:pt idx="37">
                  <c:v>4.9928673323823107E-3</c:v>
                </c:pt>
                <c:pt idx="38">
                  <c:v>4.2796005706134095E-3</c:v>
                </c:pt>
                <c:pt idx="39">
                  <c:v>4.2796005706134095E-3</c:v>
                </c:pt>
                <c:pt idx="40">
                  <c:v>2.1398002853067048E-3</c:v>
                </c:pt>
                <c:pt idx="41">
                  <c:v>2.1398002853067048E-3</c:v>
                </c:pt>
                <c:pt idx="42">
                  <c:v>1.4265335235378032E-3</c:v>
                </c:pt>
                <c:pt idx="43">
                  <c:v>1.4265335235378032E-3</c:v>
                </c:pt>
                <c:pt idx="44">
                  <c:v>1.4265335235378032E-3</c:v>
                </c:pt>
                <c:pt idx="45">
                  <c:v>7.1326676176890159E-4</c:v>
                </c:pt>
                <c:pt idx="46">
                  <c:v>7.1326676176890159E-4</c:v>
                </c:pt>
                <c:pt idx="47">
                  <c:v>7.1326676176890159E-4</c:v>
                </c:pt>
                <c:pt idx="48">
                  <c:v>7.1326676176890159E-4</c:v>
                </c:pt>
                <c:pt idx="49">
                  <c:v>7.1326676176890159E-4</c:v>
                </c:pt>
              </c:numCache>
            </c:numRef>
          </c:val>
          <c:extLst>
            <c:ext xmlns:c16="http://schemas.microsoft.com/office/drawing/2014/chart" uri="{C3380CC4-5D6E-409C-BE32-E72D297353CC}">
              <c16:uniqueId val="{00000001-04D9-4332-BF0A-01804ECBEFE9}"/>
            </c:ext>
          </c:extLst>
        </c:ser>
        <c:dLbls>
          <c:showLegendKey val="0"/>
          <c:showVal val="0"/>
          <c:showCatName val="0"/>
          <c:showSerName val="0"/>
          <c:showPercent val="0"/>
          <c:showBubbleSize val="0"/>
        </c:dLbls>
        <c:gapWidth val="182"/>
        <c:axId val="1122935183"/>
        <c:axId val="1122934223"/>
      </c:barChart>
      <c:catAx>
        <c:axId val="1122935183"/>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122934223"/>
        <c:crosses val="autoZero"/>
        <c:auto val="1"/>
        <c:lblAlgn val="ctr"/>
        <c:lblOffset val="100"/>
        <c:noMultiLvlLbl val="0"/>
      </c:catAx>
      <c:valAx>
        <c:axId val="1122934223"/>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122935183"/>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[Plantilla respuesta comentarios 2026.xlsx]Gráficas!TablaDinámica4</c:name>
    <c:fmtId val="-1"/>
  </c:pivotSource>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MX"/>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Gráficas!$C$79</c:f>
              <c:strCache>
                <c:ptCount val="1"/>
                <c:pt idx="0">
                  <c:v>Total</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Gráficas!$B$80:$B$108</c:f>
              <c:strCache>
                <c:ptCount val="28"/>
                <c:pt idx="0">
                  <c:v>Asociación Nacional de Empresarios de Colombia - ANDI-</c:v>
                </c:pt>
                <c:pt idx="1">
                  <c:v>Acolgen </c:v>
                </c:pt>
                <c:pt idx="2">
                  <c:v>Asociación Colombiana de Minería -ACM</c:v>
                </c:pt>
                <c:pt idx="3">
                  <c:v>Asociación Nacional de Empresas de Servicios Públicos y Comunicaciones-ANDESCO</c:v>
                </c:pt>
                <c:pt idx="4">
                  <c:v>Ser Colombia</c:v>
                </c:pt>
                <c:pt idx="5">
                  <c:v>Ecopetrol S.A.</c:v>
                </c:pt>
                <c:pt idx="6">
                  <c:v>Asociación Colombiana del Petróleo y Gas -ACP</c:v>
                </c:pt>
                <c:pt idx="7">
                  <c:v>Inerco Consultoría Colombia</c:v>
                </c:pt>
                <c:pt idx="8">
                  <c:v>Minera de Cobre Quebradona</c:v>
                </c:pt>
                <c:pt idx="9">
                  <c:v>Aquabiósfera S.A.S. B.I.C.</c:v>
                </c:pt>
                <c:pt idx="10">
                  <c:v>Cenit transporte y logistica de hidrocarburos</c:v>
                </c:pt>
                <c:pt idx="11">
                  <c:v>Integral S.A.</c:v>
                </c:pt>
                <c:pt idx="12">
                  <c:v>ILEX Acción Jurídica</c:v>
                </c:pt>
                <c:pt idx="13">
                  <c:v>Asociación Nacional de Empresas Generadoras-ANDEG</c:v>
                </c:pt>
                <c:pt idx="14">
                  <c:v>Ariel Murcia</c:v>
                </c:pt>
                <c:pt idx="15">
                  <c:v>Centro de Empresas y Derechos Humanos (CIEDH)</c:v>
                </c:pt>
                <c:pt idx="16">
                  <c:v>Cámara Colombiana de la Construcción - Camacol</c:v>
                </c:pt>
                <c:pt idx="17">
                  <c:v>Dejusticia - Centro de Estudios de Derecho, Justicia y Sociedad</c:v>
                </c:pt>
                <c:pt idx="18">
                  <c:v>OSC Polen Transiciones Justas</c:v>
                </c:pt>
                <c:pt idx="19">
                  <c:v>Danys Ortiz Olarte</c:v>
                </c:pt>
                <c:pt idx="20">
                  <c:v>Secretaría de bienestar verde - Gobernación de Cundinamarca</c:v>
                </c:pt>
                <c:pt idx="21">
                  <c:v>Veolia Colombia</c:v>
                </c:pt>
                <c:pt idx="22">
                  <c:v>Biota Global SAS</c:v>
                </c:pt>
                <c:pt idx="23">
                  <c:v>MyL Consultores ambientales SAS</c:v>
                </c:pt>
                <c:pt idx="24">
                  <c:v>Corporación Autónoma Regional de las Cuencas de los Ríos Negro y Nare "Cornare"</c:v>
                </c:pt>
                <c:pt idx="25">
                  <c:v>Jorge Eduardo Gualdrón Duarte</c:v>
                </c:pt>
                <c:pt idx="26">
                  <c:v>Asociación Interamericana para la Defensa del Ambiente - AIDA </c:v>
                </c:pt>
                <c:pt idx="27">
                  <c:v>Cristian Camilo Cartagena Ospina</c:v>
                </c:pt>
              </c:strCache>
            </c:strRef>
          </c:cat>
          <c:val>
            <c:numRef>
              <c:f>Gráficas!$C$80:$C$108</c:f>
              <c:numCache>
                <c:formatCode>General</c:formatCode>
                <c:ptCount val="28"/>
                <c:pt idx="0">
                  <c:v>262</c:v>
                </c:pt>
                <c:pt idx="1">
                  <c:v>170</c:v>
                </c:pt>
                <c:pt idx="2">
                  <c:v>164</c:v>
                </c:pt>
                <c:pt idx="3">
                  <c:v>124</c:v>
                </c:pt>
                <c:pt idx="4">
                  <c:v>98</c:v>
                </c:pt>
                <c:pt idx="5">
                  <c:v>86</c:v>
                </c:pt>
                <c:pt idx="6">
                  <c:v>83</c:v>
                </c:pt>
                <c:pt idx="7">
                  <c:v>77</c:v>
                </c:pt>
                <c:pt idx="8">
                  <c:v>74</c:v>
                </c:pt>
                <c:pt idx="9">
                  <c:v>48</c:v>
                </c:pt>
                <c:pt idx="10">
                  <c:v>42</c:v>
                </c:pt>
                <c:pt idx="11">
                  <c:v>39</c:v>
                </c:pt>
                <c:pt idx="12">
                  <c:v>24</c:v>
                </c:pt>
                <c:pt idx="13">
                  <c:v>18</c:v>
                </c:pt>
                <c:pt idx="14">
                  <c:v>16</c:v>
                </c:pt>
                <c:pt idx="15">
                  <c:v>14</c:v>
                </c:pt>
                <c:pt idx="16">
                  <c:v>10</c:v>
                </c:pt>
                <c:pt idx="17">
                  <c:v>9</c:v>
                </c:pt>
                <c:pt idx="18">
                  <c:v>9</c:v>
                </c:pt>
                <c:pt idx="19">
                  <c:v>7</c:v>
                </c:pt>
                <c:pt idx="20">
                  <c:v>7</c:v>
                </c:pt>
                <c:pt idx="21">
                  <c:v>5</c:v>
                </c:pt>
                <c:pt idx="22">
                  <c:v>4</c:v>
                </c:pt>
                <c:pt idx="23">
                  <c:v>4</c:v>
                </c:pt>
                <c:pt idx="24">
                  <c:v>3</c:v>
                </c:pt>
                <c:pt idx="25">
                  <c:v>2</c:v>
                </c:pt>
                <c:pt idx="26">
                  <c:v>2</c:v>
                </c:pt>
                <c:pt idx="27">
                  <c:v>1</c:v>
                </c:pt>
              </c:numCache>
            </c:numRef>
          </c:val>
          <c:extLst>
            <c:ext xmlns:c16="http://schemas.microsoft.com/office/drawing/2014/chart" uri="{C3380CC4-5D6E-409C-BE32-E72D297353CC}">
              <c16:uniqueId val="{00000000-5881-4B70-AEB1-40120CF7BC0B}"/>
            </c:ext>
          </c:extLst>
        </c:ser>
        <c:dLbls>
          <c:showLegendKey val="0"/>
          <c:showVal val="0"/>
          <c:showCatName val="0"/>
          <c:showSerName val="0"/>
          <c:showPercent val="0"/>
          <c:showBubbleSize val="0"/>
        </c:dLbls>
        <c:gapWidth val="182"/>
        <c:axId val="1122935183"/>
        <c:axId val="1122934223"/>
      </c:barChart>
      <c:catAx>
        <c:axId val="1122935183"/>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122934223"/>
        <c:crosses val="autoZero"/>
        <c:auto val="1"/>
        <c:lblAlgn val="ctr"/>
        <c:lblOffset val="100"/>
        <c:noMultiLvlLbl val="0"/>
      </c:catAx>
      <c:valAx>
        <c:axId val="1122934223"/>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122935183"/>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pivotOptions>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563463427554345E-2"/>
          <c:y val="4.2311384383724927E-2"/>
          <c:w val="0.93759407330180722"/>
          <c:h val="0.77707772584203871"/>
        </c:manualLayout>
      </c:layout>
      <c:barChart>
        <c:barDir val="bar"/>
        <c:grouping val="stacked"/>
        <c:varyColors val="0"/>
        <c:ser>
          <c:idx val="1"/>
          <c:order val="0"/>
          <c:tx>
            <c:strRef>
              <c:f>Gráficas!$B$204</c:f>
              <c:strCache>
                <c:ptCount val="1"/>
                <c:pt idx="0">
                  <c:v>Se aclara. </c:v>
                </c:pt>
              </c:strCache>
            </c:strRef>
          </c:tx>
          <c:spPr>
            <a:solidFill>
              <a:srgbClr val="0070C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Gráficas!$C$204</c:f>
              <c:numCache>
                <c:formatCode>General</c:formatCode>
                <c:ptCount val="1"/>
                <c:pt idx="0">
                  <c:v>425</c:v>
                </c:pt>
              </c:numCache>
            </c:numRef>
          </c:val>
          <c:extLst>
            <c:ext xmlns:c16="http://schemas.microsoft.com/office/drawing/2014/chart" uri="{C3380CC4-5D6E-409C-BE32-E72D297353CC}">
              <c16:uniqueId val="{00000000-6ECE-4B9B-BA0D-268AED9B9D4C}"/>
            </c:ext>
          </c:extLst>
        </c:ser>
        <c:ser>
          <c:idx val="2"/>
          <c:order val="1"/>
          <c:tx>
            <c:strRef>
              <c:f>Gráficas!$B$205</c:f>
              <c:strCache>
                <c:ptCount val="1"/>
                <c:pt idx="0">
                  <c:v>Se acoge la propuesta. </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Gráficas!$C$205</c:f>
              <c:numCache>
                <c:formatCode>General</c:formatCode>
                <c:ptCount val="1"/>
                <c:pt idx="0">
                  <c:v>120</c:v>
                </c:pt>
              </c:numCache>
            </c:numRef>
          </c:val>
          <c:extLst>
            <c:ext xmlns:c16="http://schemas.microsoft.com/office/drawing/2014/chart" uri="{C3380CC4-5D6E-409C-BE32-E72D297353CC}">
              <c16:uniqueId val="{00000001-6ECE-4B9B-BA0D-268AED9B9D4C}"/>
            </c:ext>
          </c:extLst>
        </c:ser>
        <c:ser>
          <c:idx val="3"/>
          <c:order val="2"/>
          <c:tx>
            <c:strRef>
              <c:f>Gráficas!$B$206</c:f>
              <c:strCache>
                <c:ptCount val="1"/>
                <c:pt idx="0">
                  <c:v>Se acoge parcialmente la propuesta. </c:v>
                </c:pt>
              </c:strCache>
            </c:strRef>
          </c:tx>
          <c:spPr>
            <a:solidFill>
              <a:srgbClr val="FFC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Gráficas!$C$206</c:f>
              <c:numCache>
                <c:formatCode>General</c:formatCode>
                <c:ptCount val="1"/>
                <c:pt idx="0">
                  <c:v>234</c:v>
                </c:pt>
              </c:numCache>
            </c:numRef>
          </c:val>
          <c:extLst>
            <c:ext xmlns:c16="http://schemas.microsoft.com/office/drawing/2014/chart" uri="{C3380CC4-5D6E-409C-BE32-E72D297353CC}">
              <c16:uniqueId val="{00000002-6ECE-4B9B-BA0D-268AED9B9D4C}"/>
            </c:ext>
          </c:extLst>
        </c:ser>
        <c:ser>
          <c:idx val="0"/>
          <c:order val="3"/>
          <c:tx>
            <c:strRef>
              <c:f>Gráficas!$B$203</c:f>
              <c:strCache>
                <c:ptCount val="1"/>
                <c:pt idx="0">
                  <c:v>No se acoge la propuesta.</c:v>
                </c:pt>
              </c:strCache>
            </c:strRef>
          </c:tx>
          <c:spPr>
            <a:solidFill>
              <a:srgbClr val="FF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Gráficas!$C$203</c:f>
              <c:numCache>
                <c:formatCode>General</c:formatCode>
                <c:ptCount val="1"/>
                <c:pt idx="0">
                  <c:v>623</c:v>
                </c:pt>
              </c:numCache>
            </c:numRef>
          </c:val>
          <c:extLst>
            <c:ext xmlns:c16="http://schemas.microsoft.com/office/drawing/2014/chart" uri="{C3380CC4-5D6E-409C-BE32-E72D297353CC}">
              <c16:uniqueId val="{00000003-6ECE-4B9B-BA0D-268AED9B9D4C}"/>
            </c:ext>
          </c:extLst>
        </c:ser>
        <c:dLbls>
          <c:showLegendKey val="0"/>
          <c:showVal val="1"/>
          <c:showCatName val="0"/>
          <c:showSerName val="0"/>
          <c:showPercent val="0"/>
          <c:showBubbleSize val="0"/>
        </c:dLbls>
        <c:gapWidth val="95"/>
        <c:overlap val="100"/>
        <c:axId val="159057695"/>
        <c:axId val="159054815"/>
      </c:barChart>
      <c:catAx>
        <c:axId val="159057695"/>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59054815"/>
        <c:crosses val="autoZero"/>
        <c:auto val="1"/>
        <c:lblAlgn val="ctr"/>
        <c:lblOffset val="100"/>
        <c:noMultiLvlLbl val="0"/>
      </c:catAx>
      <c:valAx>
        <c:axId val="159054815"/>
        <c:scaling>
          <c:orientation val="minMax"/>
        </c:scaling>
        <c:delete val="1"/>
        <c:axPos val="b"/>
        <c:numFmt formatCode="General" sourceLinked="1"/>
        <c:majorTickMark val="none"/>
        <c:minorTickMark val="none"/>
        <c:tickLblPos val="nextTo"/>
        <c:crossAx val="159057695"/>
        <c:crosses val="autoZero"/>
        <c:crossBetween val="between"/>
      </c:valAx>
      <c:spPr>
        <a:noFill/>
        <a:ln>
          <a:noFill/>
        </a:ln>
        <a:effectLst/>
      </c:spPr>
    </c:plotArea>
    <c:legend>
      <c:legendPos val="t"/>
      <c:layout>
        <c:manualLayout>
          <c:xMode val="edge"/>
          <c:yMode val="edge"/>
          <c:x val="4.301968864934478E-3"/>
          <c:y val="0.84846211155476325"/>
          <c:w val="0.89999995306601721"/>
          <c:h val="8.964206167456159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7417243008481064"/>
          <c:y val="3.8388920401931093E-2"/>
          <c:w val="0.48376697814341046"/>
          <c:h val="0.89640587306057973"/>
        </c:manualLayout>
      </c:layout>
      <c:barChart>
        <c:barDir val="bar"/>
        <c:grouping val="stacked"/>
        <c:varyColors val="0"/>
        <c:ser>
          <c:idx val="0"/>
          <c:order val="0"/>
          <c:tx>
            <c:strRef>
              <c:f>Gráficas!$C$304</c:f>
              <c:strCache>
                <c:ptCount val="1"/>
                <c:pt idx="0">
                  <c:v>No se acoge la propuesta.</c:v>
                </c:pt>
              </c:strCache>
            </c:strRef>
          </c:tx>
          <c:spPr>
            <a:solidFill>
              <a:srgbClr val="FF0000"/>
            </a:solidFill>
          </c:spPr>
          <c:invertIfNegative val="0"/>
          <c:cat>
            <c:strRef>
              <c:f>Gráficas!$B$305:$B$332</c:f>
              <c:strCache>
                <c:ptCount val="28"/>
                <c:pt idx="0">
                  <c:v>Asociación Nacional de Empresarios de Colombia - ANDI-</c:v>
                </c:pt>
                <c:pt idx="1">
                  <c:v>Acolgen </c:v>
                </c:pt>
                <c:pt idx="2">
                  <c:v>Asociación Colombiana de Minería -ACM</c:v>
                </c:pt>
                <c:pt idx="3">
                  <c:v>Asociación Nacional de Empresas de Servicios Públicos y Comunicaciones-ANDESCO</c:v>
                </c:pt>
                <c:pt idx="4">
                  <c:v>Ser Colombia</c:v>
                </c:pt>
                <c:pt idx="5">
                  <c:v>Ecopetrol S.A.</c:v>
                </c:pt>
                <c:pt idx="6">
                  <c:v>Asociación Colombiana del Petróleo y Gas -ACP</c:v>
                </c:pt>
                <c:pt idx="7">
                  <c:v>Inerco Consultoría Colombia</c:v>
                </c:pt>
                <c:pt idx="8">
                  <c:v>Minera de Cobre Quebradona</c:v>
                </c:pt>
                <c:pt idx="9">
                  <c:v>Aquabiósfera S.A.S. B.I.C.</c:v>
                </c:pt>
                <c:pt idx="10">
                  <c:v>Cenit transporte y logistica de hidrocarburos</c:v>
                </c:pt>
                <c:pt idx="11">
                  <c:v>Integral S.A.</c:v>
                </c:pt>
                <c:pt idx="12">
                  <c:v>ILEX Acción Jurídica</c:v>
                </c:pt>
                <c:pt idx="13">
                  <c:v>Asociación Nacional de Empresas Generadoras-ANDEG</c:v>
                </c:pt>
                <c:pt idx="14">
                  <c:v>Ariel Murcia</c:v>
                </c:pt>
                <c:pt idx="15">
                  <c:v>Centro de Empresas y Derechos Humanos (CIEDH)</c:v>
                </c:pt>
                <c:pt idx="16">
                  <c:v>Cámara Colombiana de la Construcción - Camacol</c:v>
                </c:pt>
                <c:pt idx="17">
                  <c:v>OSC Polen Transiciones Justas</c:v>
                </c:pt>
                <c:pt idx="18">
                  <c:v>Dejusticia - Centro de Estudios de Derecho, Justicia y Sociedad</c:v>
                </c:pt>
                <c:pt idx="19">
                  <c:v>Secretaría de bienestar verde - Gobernación de Cundinamarca</c:v>
                </c:pt>
                <c:pt idx="20">
                  <c:v>Danys Ortiz Olarte</c:v>
                </c:pt>
                <c:pt idx="21">
                  <c:v>Veolia Colombia</c:v>
                </c:pt>
                <c:pt idx="22">
                  <c:v>Biota Global SAS</c:v>
                </c:pt>
                <c:pt idx="23">
                  <c:v>MyL Consultores ambientales SAS</c:v>
                </c:pt>
                <c:pt idx="24">
                  <c:v>Corporación Autónoma Regional de las Cuencas de los Ríos Negro y Nare "Cornare"</c:v>
                </c:pt>
                <c:pt idx="25">
                  <c:v>Asociación Interamericana para la Defensa del Ambiente - AIDA </c:v>
                </c:pt>
                <c:pt idx="26">
                  <c:v>Jorge Eduardo Gualdrón Duarte</c:v>
                </c:pt>
                <c:pt idx="27">
                  <c:v>Cristian Camilo Cartagena Ospina</c:v>
                </c:pt>
              </c:strCache>
            </c:strRef>
          </c:cat>
          <c:val>
            <c:numRef>
              <c:f>Gráficas!$C$305:$C$332</c:f>
              <c:numCache>
                <c:formatCode>General</c:formatCode>
                <c:ptCount val="28"/>
                <c:pt idx="0">
                  <c:v>136</c:v>
                </c:pt>
                <c:pt idx="1">
                  <c:v>67</c:v>
                </c:pt>
                <c:pt idx="2">
                  <c:v>94</c:v>
                </c:pt>
                <c:pt idx="3">
                  <c:v>58</c:v>
                </c:pt>
                <c:pt idx="4">
                  <c:v>27</c:v>
                </c:pt>
                <c:pt idx="5">
                  <c:v>29</c:v>
                </c:pt>
                <c:pt idx="6">
                  <c:v>40</c:v>
                </c:pt>
                <c:pt idx="7">
                  <c:v>25</c:v>
                </c:pt>
                <c:pt idx="8">
                  <c:v>37</c:v>
                </c:pt>
                <c:pt idx="9">
                  <c:v>16</c:v>
                </c:pt>
                <c:pt idx="10">
                  <c:v>16</c:v>
                </c:pt>
                <c:pt idx="11">
                  <c:v>16</c:v>
                </c:pt>
                <c:pt idx="12">
                  <c:v>9</c:v>
                </c:pt>
                <c:pt idx="13">
                  <c:v>8</c:v>
                </c:pt>
                <c:pt idx="14">
                  <c:v>11</c:v>
                </c:pt>
                <c:pt idx="15">
                  <c:v>7</c:v>
                </c:pt>
                <c:pt idx="16">
                  <c:v>5</c:v>
                </c:pt>
                <c:pt idx="17">
                  <c:v>3</c:v>
                </c:pt>
                <c:pt idx="18">
                  <c:v>1</c:v>
                </c:pt>
                <c:pt idx="19">
                  <c:v>3</c:v>
                </c:pt>
                <c:pt idx="20">
                  <c:v>4</c:v>
                </c:pt>
                <c:pt idx="21">
                  <c:v>5</c:v>
                </c:pt>
                <c:pt idx="22">
                  <c:v>1</c:v>
                </c:pt>
                <c:pt idx="24">
                  <c:v>2</c:v>
                </c:pt>
                <c:pt idx="25">
                  <c:v>2</c:v>
                </c:pt>
                <c:pt idx="26">
                  <c:v>1</c:v>
                </c:pt>
              </c:numCache>
            </c:numRef>
          </c:val>
          <c:extLst>
            <c:ext xmlns:c16="http://schemas.microsoft.com/office/drawing/2014/chart" uri="{C3380CC4-5D6E-409C-BE32-E72D297353CC}">
              <c16:uniqueId val="{00000000-4988-4DFB-81EF-FA8FF74ECB1E}"/>
            </c:ext>
          </c:extLst>
        </c:ser>
        <c:ser>
          <c:idx val="1"/>
          <c:order val="1"/>
          <c:tx>
            <c:strRef>
              <c:f>Gráficas!$D$304</c:f>
              <c:strCache>
                <c:ptCount val="1"/>
                <c:pt idx="0">
                  <c:v>Se aclara.</c:v>
                </c:pt>
              </c:strCache>
            </c:strRef>
          </c:tx>
          <c:spPr>
            <a:solidFill>
              <a:srgbClr val="0070C0"/>
            </a:solidFill>
            <a:ln>
              <a:noFill/>
            </a:ln>
            <a:effectLst/>
          </c:spPr>
          <c:invertIfNegative val="0"/>
          <c:cat>
            <c:strRef>
              <c:f>Gráficas!$B$305:$B$332</c:f>
              <c:strCache>
                <c:ptCount val="28"/>
                <c:pt idx="0">
                  <c:v>Asociación Nacional de Empresarios de Colombia - ANDI-</c:v>
                </c:pt>
                <c:pt idx="1">
                  <c:v>Acolgen </c:v>
                </c:pt>
                <c:pt idx="2">
                  <c:v>Asociación Colombiana de Minería -ACM</c:v>
                </c:pt>
                <c:pt idx="3">
                  <c:v>Asociación Nacional de Empresas de Servicios Públicos y Comunicaciones-ANDESCO</c:v>
                </c:pt>
                <c:pt idx="4">
                  <c:v>Ser Colombia</c:v>
                </c:pt>
                <c:pt idx="5">
                  <c:v>Ecopetrol S.A.</c:v>
                </c:pt>
                <c:pt idx="6">
                  <c:v>Asociación Colombiana del Petróleo y Gas -ACP</c:v>
                </c:pt>
                <c:pt idx="7">
                  <c:v>Inerco Consultoría Colombia</c:v>
                </c:pt>
                <c:pt idx="8">
                  <c:v>Minera de Cobre Quebradona</c:v>
                </c:pt>
                <c:pt idx="9">
                  <c:v>Aquabiósfera S.A.S. B.I.C.</c:v>
                </c:pt>
                <c:pt idx="10">
                  <c:v>Cenit transporte y logistica de hidrocarburos</c:v>
                </c:pt>
                <c:pt idx="11">
                  <c:v>Integral S.A.</c:v>
                </c:pt>
                <c:pt idx="12">
                  <c:v>ILEX Acción Jurídica</c:v>
                </c:pt>
                <c:pt idx="13">
                  <c:v>Asociación Nacional de Empresas Generadoras-ANDEG</c:v>
                </c:pt>
                <c:pt idx="14">
                  <c:v>Ariel Murcia</c:v>
                </c:pt>
                <c:pt idx="15">
                  <c:v>Centro de Empresas y Derechos Humanos (CIEDH)</c:v>
                </c:pt>
                <c:pt idx="16">
                  <c:v>Cámara Colombiana de la Construcción - Camacol</c:v>
                </c:pt>
                <c:pt idx="17">
                  <c:v>OSC Polen Transiciones Justas</c:v>
                </c:pt>
                <c:pt idx="18">
                  <c:v>Dejusticia - Centro de Estudios de Derecho, Justicia y Sociedad</c:v>
                </c:pt>
                <c:pt idx="19">
                  <c:v>Secretaría de bienestar verde - Gobernación de Cundinamarca</c:v>
                </c:pt>
                <c:pt idx="20">
                  <c:v>Danys Ortiz Olarte</c:v>
                </c:pt>
                <c:pt idx="21">
                  <c:v>Veolia Colombia</c:v>
                </c:pt>
                <c:pt idx="22">
                  <c:v>Biota Global SAS</c:v>
                </c:pt>
                <c:pt idx="23">
                  <c:v>MyL Consultores ambientales SAS</c:v>
                </c:pt>
                <c:pt idx="24">
                  <c:v>Corporación Autónoma Regional de las Cuencas de los Ríos Negro y Nare "Cornare"</c:v>
                </c:pt>
                <c:pt idx="25">
                  <c:v>Asociación Interamericana para la Defensa del Ambiente - AIDA </c:v>
                </c:pt>
                <c:pt idx="26">
                  <c:v>Jorge Eduardo Gualdrón Duarte</c:v>
                </c:pt>
                <c:pt idx="27">
                  <c:v>Cristian Camilo Cartagena Ospina</c:v>
                </c:pt>
              </c:strCache>
            </c:strRef>
          </c:cat>
          <c:val>
            <c:numRef>
              <c:f>Gráficas!$D$305:$D$332</c:f>
              <c:numCache>
                <c:formatCode>General</c:formatCode>
                <c:ptCount val="28"/>
                <c:pt idx="0">
                  <c:v>74</c:v>
                </c:pt>
                <c:pt idx="1">
                  <c:v>72</c:v>
                </c:pt>
                <c:pt idx="2">
                  <c:v>34</c:v>
                </c:pt>
                <c:pt idx="3">
                  <c:v>31</c:v>
                </c:pt>
                <c:pt idx="4">
                  <c:v>43</c:v>
                </c:pt>
                <c:pt idx="5">
                  <c:v>19</c:v>
                </c:pt>
                <c:pt idx="6">
                  <c:v>25</c:v>
                </c:pt>
                <c:pt idx="7">
                  <c:v>37</c:v>
                </c:pt>
                <c:pt idx="8">
                  <c:v>18</c:v>
                </c:pt>
                <c:pt idx="9">
                  <c:v>5</c:v>
                </c:pt>
                <c:pt idx="10">
                  <c:v>8</c:v>
                </c:pt>
                <c:pt idx="11">
                  <c:v>9</c:v>
                </c:pt>
                <c:pt idx="12">
                  <c:v>8</c:v>
                </c:pt>
                <c:pt idx="13">
                  <c:v>10</c:v>
                </c:pt>
                <c:pt idx="14">
                  <c:v>3</c:v>
                </c:pt>
                <c:pt idx="15">
                  <c:v>6</c:v>
                </c:pt>
                <c:pt idx="16">
                  <c:v>4</c:v>
                </c:pt>
                <c:pt idx="17">
                  <c:v>6</c:v>
                </c:pt>
                <c:pt idx="18">
                  <c:v>4</c:v>
                </c:pt>
                <c:pt idx="19">
                  <c:v>1</c:v>
                </c:pt>
                <c:pt idx="20">
                  <c:v>2</c:v>
                </c:pt>
                <c:pt idx="22">
                  <c:v>1</c:v>
                </c:pt>
                <c:pt idx="23">
                  <c:v>3</c:v>
                </c:pt>
                <c:pt idx="24">
                  <c:v>1</c:v>
                </c:pt>
                <c:pt idx="27">
                  <c:v>1</c:v>
                </c:pt>
              </c:numCache>
            </c:numRef>
          </c:val>
          <c:extLst>
            <c:ext xmlns:c16="http://schemas.microsoft.com/office/drawing/2014/chart" uri="{C3380CC4-5D6E-409C-BE32-E72D297353CC}">
              <c16:uniqueId val="{00000001-4988-4DFB-81EF-FA8FF74ECB1E}"/>
            </c:ext>
          </c:extLst>
        </c:ser>
        <c:ser>
          <c:idx val="2"/>
          <c:order val="2"/>
          <c:tx>
            <c:strRef>
              <c:f>Gráficas!$E$304</c:f>
              <c:strCache>
                <c:ptCount val="1"/>
                <c:pt idx="0">
                  <c:v>Se acoge la propuesta. </c:v>
                </c:pt>
              </c:strCache>
            </c:strRef>
          </c:tx>
          <c:spPr>
            <a:solidFill>
              <a:srgbClr val="00B050"/>
            </a:solidFill>
          </c:spPr>
          <c:invertIfNegative val="0"/>
          <c:cat>
            <c:strRef>
              <c:f>Gráficas!$B$305:$B$332</c:f>
              <c:strCache>
                <c:ptCount val="28"/>
                <c:pt idx="0">
                  <c:v>Asociación Nacional de Empresarios de Colombia - ANDI-</c:v>
                </c:pt>
                <c:pt idx="1">
                  <c:v>Acolgen </c:v>
                </c:pt>
                <c:pt idx="2">
                  <c:v>Asociación Colombiana de Minería -ACM</c:v>
                </c:pt>
                <c:pt idx="3">
                  <c:v>Asociación Nacional de Empresas de Servicios Públicos y Comunicaciones-ANDESCO</c:v>
                </c:pt>
                <c:pt idx="4">
                  <c:v>Ser Colombia</c:v>
                </c:pt>
                <c:pt idx="5">
                  <c:v>Ecopetrol S.A.</c:v>
                </c:pt>
                <c:pt idx="6">
                  <c:v>Asociación Colombiana del Petróleo y Gas -ACP</c:v>
                </c:pt>
                <c:pt idx="7">
                  <c:v>Inerco Consultoría Colombia</c:v>
                </c:pt>
                <c:pt idx="8">
                  <c:v>Minera de Cobre Quebradona</c:v>
                </c:pt>
                <c:pt idx="9">
                  <c:v>Aquabiósfera S.A.S. B.I.C.</c:v>
                </c:pt>
                <c:pt idx="10">
                  <c:v>Cenit transporte y logistica de hidrocarburos</c:v>
                </c:pt>
                <c:pt idx="11">
                  <c:v>Integral S.A.</c:v>
                </c:pt>
                <c:pt idx="12">
                  <c:v>ILEX Acción Jurídica</c:v>
                </c:pt>
                <c:pt idx="13">
                  <c:v>Asociación Nacional de Empresas Generadoras-ANDEG</c:v>
                </c:pt>
                <c:pt idx="14">
                  <c:v>Ariel Murcia</c:v>
                </c:pt>
                <c:pt idx="15">
                  <c:v>Centro de Empresas y Derechos Humanos (CIEDH)</c:v>
                </c:pt>
                <c:pt idx="16">
                  <c:v>Cámara Colombiana de la Construcción - Camacol</c:v>
                </c:pt>
                <c:pt idx="17">
                  <c:v>OSC Polen Transiciones Justas</c:v>
                </c:pt>
                <c:pt idx="18">
                  <c:v>Dejusticia - Centro de Estudios de Derecho, Justicia y Sociedad</c:v>
                </c:pt>
                <c:pt idx="19">
                  <c:v>Secretaría de bienestar verde - Gobernación de Cundinamarca</c:v>
                </c:pt>
                <c:pt idx="20">
                  <c:v>Danys Ortiz Olarte</c:v>
                </c:pt>
                <c:pt idx="21">
                  <c:v>Veolia Colombia</c:v>
                </c:pt>
                <c:pt idx="22">
                  <c:v>Biota Global SAS</c:v>
                </c:pt>
                <c:pt idx="23">
                  <c:v>MyL Consultores ambientales SAS</c:v>
                </c:pt>
                <c:pt idx="24">
                  <c:v>Corporación Autónoma Regional de las Cuencas de los Ríos Negro y Nare "Cornare"</c:v>
                </c:pt>
                <c:pt idx="25">
                  <c:v>Asociación Interamericana para la Defensa del Ambiente - AIDA </c:v>
                </c:pt>
                <c:pt idx="26">
                  <c:v>Jorge Eduardo Gualdrón Duarte</c:v>
                </c:pt>
                <c:pt idx="27">
                  <c:v>Cristian Camilo Cartagena Ospina</c:v>
                </c:pt>
              </c:strCache>
            </c:strRef>
          </c:cat>
          <c:val>
            <c:numRef>
              <c:f>Gráficas!$E$305:$E$332</c:f>
              <c:numCache>
                <c:formatCode>General</c:formatCode>
                <c:ptCount val="28"/>
                <c:pt idx="0">
                  <c:v>12</c:v>
                </c:pt>
                <c:pt idx="1">
                  <c:v>10</c:v>
                </c:pt>
                <c:pt idx="2">
                  <c:v>8</c:v>
                </c:pt>
                <c:pt idx="3">
                  <c:v>10</c:v>
                </c:pt>
                <c:pt idx="4">
                  <c:v>11</c:v>
                </c:pt>
                <c:pt idx="5">
                  <c:v>13</c:v>
                </c:pt>
                <c:pt idx="6">
                  <c:v>7</c:v>
                </c:pt>
                <c:pt idx="7">
                  <c:v>5</c:v>
                </c:pt>
                <c:pt idx="8">
                  <c:v>5</c:v>
                </c:pt>
                <c:pt idx="9">
                  <c:v>18</c:v>
                </c:pt>
                <c:pt idx="10">
                  <c:v>6</c:v>
                </c:pt>
                <c:pt idx="11">
                  <c:v>4</c:v>
                </c:pt>
                <c:pt idx="12">
                  <c:v>1</c:v>
                </c:pt>
                <c:pt idx="14">
                  <c:v>1</c:v>
                </c:pt>
                <c:pt idx="15">
                  <c:v>1</c:v>
                </c:pt>
                <c:pt idx="18">
                  <c:v>4</c:v>
                </c:pt>
                <c:pt idx="19">
                  <c:v>1</c:v>
                </c:pt>
                <c:pt idx="20">
                  <c:v>1</c:v>
                </c:pt>
                <c:pt idx="22">
                  <c:v>1</c:v>
                </c:pt>
                <c:pt idx="26">
                  <c:v>1</c:v>
                </c:pt>
              </c:numCache>
            </c:numRef>
          </c:val>
          <c:extLst>
            <c:ext xmlns:c16="http://schemas.microsoft.com/office/drawing/2014/chart" uri="{C3380CC4-5D6E-409C-BE32-E72D297353CC}">
              <c16:uniqueId val="{00000002-4988-4DFB-81EF-FA8FF74ECB1E}"/>
            </c:ext>
          </c:extLst>
        </c:ser>
        <c:ser>
          <c:idx val="3"/>
          <c:order val="3"/>
          <c:tx>
            <c:strRef>
              <c:f>Gráficas!$F$304</c:f>
              <c:strCache>
                <c:ptCount val="1"/>
                <c:pt idx="0">
                  <c:v>Se acoge parcialmente la propuesta.</c:v>
                </c:pt>
              </c:strCache>
            </c:strRef>
          </c:tx>
          <c:spPr>
            <a:solidFill>
              <a:srgbClr val="FFC000"/>
            </a:solidFill>
            <a:ln>
              <a:noFill/>
            </a:ln>
            <a:effectLst/>
          </c:spPr>
          <c:invertIfNegative val="0"/>
          <c:cat>
            <c:strRef>
              <c:f>Gráficas!$B$305:$B$332</c:f>
              <c:strCache>
                <c:ptCount val="28"/>
                <c:pt idx="0">
                  <c:v>Asociación Nacional de Empresarios de Colombia - ANDI-</c:v>
                </c:pt>
                <c:pt idx="1">
                  <c:v>Acolgen </c:v>
                </c:pt>
                <c:pt idx="2">
                  <c:v>Asociación Colombiana de Minería -ACM</c:v>
                </c:pt>
                <c:pt idx="3">
                  <c:v>Asociación Nacional de Empresas de Servicios Públicos y Comunicaciones-ANDESCO</c:v>
                </c:pt>
                <c:pt idx="4">
                  <c:v>Ser Colombia</c:v>
                </c:pt>
                <c:pt idx="5">
                  <c:v>Ecopetrol S.A.</c:v>
                </c:pt>
                <c:pt idx="6">
                  <c:v>Asociación Colombiana del Petróleo y Gas -ACP</c:v>
                </c:pt>
                <c:pt idx="7">
                  <c:v>Inerco Consultoría Colombia</c:v>
                </c:pt>
                <c:pt idx="8">
                  <c:v>Minera de Cobre Quebradona</c:v>
                </c:pt>
                <c:pt idx="9">
                  <c:v>Aquabiósfera S.A.S. B.I.C.</c:v>
                </c:pt>
                <c:pt idx="10">
                  <c:v>Cenit transporte y logistica de hidrocarburos</c:v>
                </c:pt>
                <c:pt idx="11">
                  <c:v>Integral S.A.</c:v>
                </c:pt>
                <c:pt idx="12">
                  <c:v>ILEX Acción Jurídica</c:v>
                </c:pt>
                <c:pt idx="13">
                  <c:v>Asociación Nacional de Empresas Generadoras-ANDEG</c:v>
                </c:pt>
                <c:pt idx="14">
                  <c:v>Ariel Murcia</c:v>
                </c:pt>
                <c:pt idx="15">
                  <c:v>Centro de Empresas y Derechos Humanos (CIEDH)</c:v>
                </c:pt>
                <c:pt idx="16">
                  <c:v>Cámara Colombiana de la Construcción - Camacol</c:v>
                </c:pt>
                <c:pt idx="17">
                  <c:v>OSC Polen Transiciones Justas</c:v>
                </c:pt>
                <c:pt idx="18">
                  <c:v>Dejusticia - Centro de Estudios de Derecho, Justicia y Sociedad</c:v>
                </c:pt>
                <c:pt idx="19">
                  <c:v>Secretaría de bienestar verde - Gobernación de Cundinamarca</c:v>
                </c:pt>
                <c:pt idx="20">
                  <c:v>Danys Ortiz Olarte</c:v>
                </c:pt>
                <c:pt idx="21">
                  <c:v>Veolia Colombia</c:v>
                </c:pt>
                <c:pt idx="22">
                  <c:v>Biota Global SAS</c:v>
                </c:pt>
                <c:pt idx="23">
                  <c:v>MyL Consultores ambientales SAS</c:v>
                </c:pt>
                <c:pt idx="24">
                  <c:v>Corporación Autónoma Regional de las Cuencas de los Ríos Negro y Nare "Cornare"</c:v>
                </c:pt>
                <c:pt idx="25">
                  <c:v>Asociación Interamericana para la Defensa del Ambiente - AIDA </c:v>
                </c:pt>
                <c:pt idx="26">
                  <c:v>Jorge Eduardo Gualdrón Duarte</c:v>
                </c:pt>
                <c:pt idx="27">
                  <c:v>Cristian Camilo Cartagena Ospina</c:v>
                </c:pt>
              </c:strCache>
            </c:strRef>
          </c:cat>
          <c:val>
            <c:numRef>
              <c:f>Gráficas!$F$305:$F$332</c:f>
              <c:numCache>
                <c:formatCode>General</c:formatCode>
                <c:ptCount val="28"/>
                <c:pt idx="0">
                  <c:v>40</c:v>
                </c:pt>
                <c:pt idx="1">
                  <c:v>21</c:v>
                </c:pt>
                <c:pt idx="2">
                  <c:v>28</c:v>
                </c:pt>
                <c:pt idx="3">
                  <c:v>25</c:v>
                </c:pt>
                <c:pt idx="4">
                  <c:v>17</c:v>
                </c:pt>
                <c:pt idx="5">
                  <c:v>25</c:v>
                </c:pt>
                <c:pt idx="6">
                  <c:v>11</c:v>
                </c:pt>
                <c:pt idx="7">
                  <c:v>10</c:v>
                </c:pt>
                <c:pt idx="8">
                  <c:v>14</c:v>
                </c:pt>
                <c:pt idx="9">
                  <c:v>9</c:v>
                </c:pt>
                <c:pt idx="10">
                  <c:v>12</c:v>
                </c:pt>
                <c:pt idx="11">
                  <c:v>10</c:v>
                </c:pt>
                <c:pt idx="12">
                  <c:v>6</c:v>
                </c:pt>
                <c:pt idx="14">
                  <c:v>1</c:v>
                </c:pt>
                <c:pt idx="16">
                  <c:v>1</c:v>
                </c:pt>
                <c:pt idx="19">
                  <c:v>2</c:v>
                </c:pt>
                <c:pt idx="22">
                  <c:v>1</c:v>
                </c:pt>
                <c:pt idx="23">
                  <c:v>1</c:v>
                </c:pt>
              </c:numCache>
            </c:numRef>
          </c:val>
          <c:extLst>
            <c:ext xmlns:c16="http://schemas.microsoft.com/office/drawing/2014/chart" uri="{C3380CC4-5D6E-409C-BE32-E72D297353CC}">
              <c16:uniqueId val="{00000003-4988-4DFB-81EF-FA8FF74ECB1E}"/>
            </c:ext>
          </c:extLst>
        </c:ser>
        <c:dLbls>
          <c:showLegendKey val="0"/>
          <c:showVal val="0"/>
          <c:showCatName val="0"/>
          <c:showSerName val="0"/>
          <c:showPercent val="0"/>
          <c:showBubbleSize val="0"/>
        </c:dLbls>
        <c:gapWidth val="75"/>
        <c:overlap val="100"/>
        <c:axId val="399657407"/>
        <c:axId val="399658847"/>
      </c:barChart>
      <c:catAx>
        <c:axId val="399657407"/>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CO"/>
          </a:p>
        </c:txPr>
        <c:crossAx val="399658847"/>
        <c:crosses val="autoZero"/>
        <c:auto val="1"/>
        <c:lblAlgn val="ctr"/>
        <c:lblOffset val="100"/>
        <c:noMultiLvlLbl val="0"/>
      </c:catAx>
      <c:valAx>
        <c:axId val="399658847"/>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99657407"/>
        <c:crosses val="autoZero"/>
        <c:crossBetween val="between"/>
      </c:valAx>
    </c:plotArea>
    <c:legend>
      <c:legendPos val="b"/>
      <c:overlay val="0"/>
      <c:txPr>
        <a:bodyPr/>
        <a:lstStyle/>
        <a:p>
          <a:pPr>
            <a:defRPr sz="800"/>
          </a:pPr>
          <a:endParaRPr lang="es-MX"/>
        </a:p>
      </c:txPr>
    </c:legend>
    <c:plotVisOnly val="1"/>
    <c:dispBlanksAs val="gap"/>
    <c:showDLblsOverMax val="0"/>
    <c:extLst/>
  </c:chart>
  <c:txPr>
    <a:bodyPr/>
    <a:lstStyle/>
    <a:p>
      <a:pPr>
        <a:defRPr/>
      </a:pPr>
      <a:endParaRPr lang="es-CO"/>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9561998016419742"/>
          <c:y val="3.9695872204886094E-2"/>
          <c:w val="0.56233925160203335"/>
          <c:h val="0.90727659299261099"/>
        </c:manualLayout>
      </c:layout>
      <c:barChart>
        <c:barDir val="bar"/>
        <c:grouping val="stacked"/>
        <c:varyColors val="0"/>
        <c:ser>
          <c:idx val="0"/>
          <c:order val="0"/>
          <c:tx>
            <c:strRef>
              <c:f>Gráficas!$C$382</c:f>
              <c:strCache>
                <c:ptCount val="1"/>
                <c:pt idx="0">
                  <c:v>No se acoge la propuesta.</c:v>
                </c:pt>
              </c:strCache>
            </c:strRef>
          </c:tx>
          <c:spPr>
            <a:solidFill>
              <a:srgbClr val="FF0000"/>
            </a:solidFill>
          </c:spPr>
          <c:invertIfNegative val="0"/>
          <c:cat>
            <c:strRef>
              <c:f>Gráficas!$B$383:$B$432</c:f>
              <c:strCache>
                <c:ptCount val="50"/>
                <c:pt idx="0">
                  <c:v>Lineamientos de participación</c:v>
                </c:pt>
                <c:pt idx="1">
                  <c:v>Cambio climático</c:v>
                </c:pt>
                <c:pt idx="2">
                  <c:v>Caracterización socioeconómica</c:v>
                </c:pt>
                <c:pt idx="3">
                  <c:v>Evaluación ambiental</c:v>
                </c:pt>
                <c:pt idx="4">
                  <c:v>Derechos humanos</c:v>
                </c:pt>
                <c:pt idx="5">
                  <c:v>Uso y aprovechamiento de recursos naturales</c:v>
                </c:pt>
                <c:pt idx="6">
                  <c:v>Caracterización biótica / fauna</c:v>
                </c:pt>
                <c:pt idx="7">
                  <c:v>Riesgos</c:v>
                </c:pt>
                <c:pt idx="8">
                  <c:v>Caracterización hidrológica</c:v>
                </c:pt>
                <c:pt idx="9">
                  <c:v>Área de influencia / Biótica</c:v>
                </c:pt>
                <c:pt idx="10">
                  <c:v>General</c:v>
                </c:pt>
                <c:pt idx="11">
                  <c:v>Caracterización hidrogeológica</c:v>
                </c:pt>
                <c:pt idx="12">
                  <c:v>Fuentes y presentación</c:v>
                </c:pt>
                <c:pt idx="13">
                  <c:v>Descripción del proyecto</c:v>
                </c:pt>
                <c:pt idx="14">
                  <c:v>Área de influencia / Abiótica</c:v>
                </c:pt>
                <c:pt idx="15">
                  <c:v>Caracterización biótica / ecosistemas acuáticos</c:v>
                </c:pt>
                <c:pt idx="16">
                  <c:v>Caracterización biótica / flora</c:v>
                </c:pt>
                <c:pt idx="17">
                  <c:v>Área de influencia</c:v>
                </c:pt>
                <c:pt idx="18">
                  <c:v>Caracterización geo</c:v>
                </c:pt>
                <c:pt idx="19">
                  <c:v>Área de estudio</c:v>
                </c:pt>
                <c:pt idx="20">
                  <c:v>Zonificación ambiental</c:v>
                </c:pt>
                <c:pt idx="21">
                  <c:v>Servicios ecosistémicos</c:v>
                </c:pt>
                <c:pt idx="22">
                  <c:v>Caracterización atmosférica</c:v>
                </c:pt>
                <c:pt idx="23">
                  <c:v>Área de influencia / Socioeconómica</c:v>
                </c:pt>
                <c:pt idx="24">
                  <c:v>Resolución</c:v>
                </c:pt>
                <c:pt idx="25">
                  <c:v>Plan de manejo ambiental</c:v>
                </c:pt>
                <c:pt idx="26">
                  <c:v>Caracterización general</c:v>
                </c:pt>
                <c:pt idx="27">
                  <c:v>Comparación de alternativas</c:v>
                </c:pt>
                <c:pt idx="28">
                  <c:v>MAG</c:v>
                </c:pt>
                <c:pt idx="29">
                  <c:v>Caracterización Suelos</c:v>
                </c:pt>
                <c:pt idx="30">
                  <c:v>Reasentamiento involuntario</c:v>
                </c:pt>
                <c:pt idx="31">
                  <c:v>Evaluación económica ambiental</c:v>
                </c:pt>
                <c:pt idx="32">
                  <c:v>Paisaje</c:v>
                </c:pt>
                <c:pt idx="33">
                  <c:v>Caracterización biótica / ecosistemas terrestres</c:v>
                </c:pt>
                <c:pt idx="34">
                  <c:v>Conectividad - fragmentación</c:v>
                </c:pt>
                <c:pt idx="35">
                  <c:v>Caracterización uso de las tierras</c:v>
                </c:pt>
                <c:pt idx="36">
                  <c:v>Plan de seguimiento y monitoreo</c:v>
                </c:pt>
                <c:pt idx="37">
                  <c:v>Plan de desmantelamiento y abandono</c:v>
                </c:pt>
                <c:pt idx="38">
                  <c:v>Redacción, numeración, referencias.</c:v>
                </c:pt>
                <c:pt idx="39">
                  <c:v>Zonificación de manejo ambiental</c:v>
                </c:pt>
                <c:pt idx="40">
                  <c:v>Glosario y acrónimos</c:v>
                </c:pt>
                <c:pt idx="41">
                  <c:v>Caracterización ruido</c:v>
                </c:pt>
                <c:pt idx="42">
                  <c:v>Caracterización biótica / ecosistemas</c:v>
                </c:pt>
                <c:pt idx="43">
                  <c:v>Generalidades DAA</c:v>
                </c:pt>
                <c:pt idx="44">
                  <c:v>Cartografía</c:v>
                </c:pt>
                <c:pt idx="45">
                  <c:v>Caracterización oceanografía</c:v>
                </c:pt>
                <c:pt idx="46">
                  <c:v>Salud</c:v>
                </c:pt>
                <c:pt idx="47">
                  <c:v>Áreas de Especial Interés Ambiental</c:v>
                </c:pt>
                <c:pt idx="48">
                  <c:v>Plan de compensaciones</c:v>
                </c:pt>
                <c:pt idx="49">
                  <c:v>Bioacústica</c:v>
                </c:pt>
              </c:strCache>
            </c:strRef>
          </c:cat>
          <c:val>
            <c:numRef>
              <c:f>Gráficas!$C$383:$C$432</c:f>
              <c:numCache>
                <c:formatCode>General</c:formatCode>
                <c:ptCount val="50"/>
                <c:pt idx="0">
                  <c:v>109</c:v>
                </c:pt>
                <c:pt idx="1">
                  <c:v>61</c:v>
                </c:pt>
                <c:pt idx="2">
                  <c:v>23</c:v>
                </c:pt>
                <c:pt idx="3">
                  <c:v>47</c:v>
                </c:pt>
                <c:pt idx="4">
                  <c:v>17</c:v>
                </c:pt>
                <c:pt idx="5">
                  <c:v>27</c:v>
                </c:pt>
                <c:pt idx="6">
                  <c:v>14</c:v>
                </c:pt>
                <c:pt idx="7">
                  <c:v>28</c:v>
                </c:pt>
                <c:pt idx="8">
                  <c:v>26</c:v>
                </c:pt>
                <c:pt idx="9">
                  <c:v>7</c:v>
                </c:pt>
                <c:pt idx="10">
                  <c:v>11</c:v>
                </c:pt>
                <c:pt idx="11">
                  <c:v>23</c:v>
                </c:pt>
                <c:pt idx="12">
                  <c:v>11</c:v>
                </c:pt>
                <c:pt idx="13">
                  <c:v>20</c:v>
                </c:pt>
                <c:pt idx="14">
                  <c:v>12</c:v>
                </c:pt>
                <c:pt idx="15">
                  <c:v>10</c:v>
                </c:pt>
                <c:pt idx="16">
                  <c:v>4</c:v>
                </c:pt>
                <c:pt idx="17">
                  <c:v>6</c:v>
                </c:pt>
                <c:pt idx="18">
                  <c:v>14</c:v>
                </c:pt>
                <c:pt idx="19">
                  <c:v>18</c:v>
                </c:pt>
                <c:pt idx="20">
                  <c:v>15</c:v>
                </c:pt>
                <c:pt idx="21">
                  <c:v>16</c:v>
                </c:pt>
                <c:pt idx="22">
                  <c:v>9</c:v>
                </c:pt>
                <c:pt idx="23">
                  <c:v>12</c:v>
                </c:pt>
                <c:pt idx="24">
                  <c:v>12</c:v>
                </c:pt>
                <c:pt idx="25">
                  <c:v>8</c:v>
                </c:pt>
                <c:pt idx="26">
                  <c:v>2</c:v>
                </c:pt>
                <c:pt idx="27">
                  <c:v>8</c:v>
                </c:pt>
                <c:pt idx="29">
                  <c:v>1</c:v>
                </c:pt>
                <c:pt idx="30">
                  <c:v>10</c:v>
                </c:pt>
                <c:pt idx="31">
                  <c:v>9</c:v>
                </c:pt>
                <c:pt idx="32">
                  <c:v>11</c:v>
                </c:pt>
                <c:pt idx="33">
                  <c:v>2</c:v>
                </c:pt>
                <c:pt idx="34">
                  <c:v>1</c:v>
                </c:pt>
                <c:pt idx="35">
                  <c:v>3</c:v>
                </c:pt>
                <c:pt idx="36">
                  <c:v>2</c:v>
                </c:pt>
                <c:pt idx="37">
                  <c:v>4</c:v>
                </c:pt>
                <c:pt idx="39">
                  <c:v>2</c:v>
                </c:pt>
                <c:pt idx="40">
                  <c:v>2</c:v>
                </c:pt>
                <c:pt idx="41">
                  <c:v>3</c:v>
                </c:pt>
                <c:pt idx="43">
                  <c:v>1</c:v>
                </c:pt>
                <c:pt idx="45">
                  <c:v>1</c:v>
                </c:pt>
                <c:pt idx="48">
                  <c:v>1</c:v>
                </c:pt>
              </c:numCache>
            </c:numRef>
          </c:val>
          <c:extLst>
            <c:ext xmlns:c16="http://schemas.microsoft.com/office/drawing/2014/chart" uri="{C3380CC4-5D6E-409C-BE32-E72D297353CC}">
              <c16:uniqueId val="{00000000-B9D2-406E-A593-F22E34C26953}"/>
            </c:ext>
          </c:extLst>
        </c:ser>
        <c:ser>
          <c:idx val="1"/>
          <c:order val="1"/>
          <c:tx>
            <c:strRef>
              <c:f>Gráficas!$D$382</c:f>
              <c:strCache>
                <c:ptCount val="1"/>
                <c:pt idx="0">
                  <c:v>Se aclara.</c:v>
                </c:pt>
              </c:strCache>
            </c:strRef>
          </c:tx>
          <c:spPr>
            <a:solidFill>
              <a:srgbClr val="0070C0"/>
            </a:solidFill>
          </c:spPr>
          <c:invertIfNegative val="0"/>
          <c:cat>
            <c:strRef>
              <c:f>Gráficas!$B$383:$B$432</c:f>
              <c:strCache>
                <c:ptCount val="50"/>
                <c:pt idx="0">
                  <c:v>Lineamientos de participación</c:v>
                </c:pt>
                <c:pt idx="1">
                  <c:v>Cambio climático</c:v>
                </c:pt>
                <c:pt idx="2">
                  <c:v>Caracterización socioeconómica</c:v>
                </c:pt>
                <c:pt idx="3">
                  <c:v>Evaluación ambiental</c:v>
                </c:pt>
                <c:pt idx="4">
                  <c:v>Derechos humanos</c:v>
                </c:pt>
                <c:pt idx="5">
                  <c:v>Uso y aprovechamiento de recursos naturales</c:v>
                </c:pt>
                <c:pt idx="6">
                  <c:v>Caracterización biótica / fauna</c:v>
                </c:pt>
                <c:pt idx="7">
                  <c:v>Riesgos</c:v>
                </c:pt>
                <c:pt idx="8">
                  <c:v>Caracterización hidrológica</c:v>
                </c:pt>
                <c:pt idx="9">
                  <c:v>Área de influencia / Biótica</c:v>
                </c:pt>
                <c:pt idx="10">
                  <c:v>General</c:v>
                </c:pt>
                <c:pt idx="11">
                  <c:v>Caracterización hidrogeológica</c:v>
                </c:pt>
                <c:pt idx="12">
                  <c:v>Fuentes y presentación</c:v>
                </c:pt>
                <c:pt idx="13">
                  <c:v>Descripción del proyecto</c:v>
                </c:pt>
                <c:pt idx="14">
                  <c:v>Área de influencia / Abiótica</c:v>
                </c:pt>
                <c:pt idx="15">
                  <c:v>Caracterización biótica / ecosistemas acuáticos</c:v>
                </c:pt>
                <c:pt idx="16">
                  <c:v>Caracterización biótica / flora</c:v>
                </c:pt>
                <c:pt idx="17">
                  <c:v>Área de influencia</c:v>
                </c:pt>
                <c:pt idx="18">
                  <c:v>Caracterización geo</c:v>
                </c:pt>
                <c:pt idx="19">
                  <c:v>Área de estudio</c:v>
                </c:pt>
                <c:pt idx="20">
                  <c:v>Zonificación ambiental</c:v>
                </c:pt>
                <c:pt idx="21">
                  <c:v>Servicios ecosistémicos</c:v>
                </c:pt>
                <c:pt idx="22">
                  <c:v>Caracterización atmosférica</c:v>
                </c:pt>
                <c:pt idx="23">
                  <c:v>Área de influencia / Socioeconómica</c:v>
                </c:pt>
                <c:pt idx="24">
                  <c:v>Resolución</c:v>
                </c:pt>
                <c:pt idx="25">
                  <c:v>Plan de manejo ambiental</c:v>
                </c:pt>
                <c:pt idx="26">
                  <c:v>Caracterización general</c:v>
                </c:pt>
                <c:pt idx="27">
                  <c:v>Comparación de alternativas</c:v>
                </c:pt>
                <c:pt idx="28">
                  <c:v>MAG</c:v>
                </c:pt>
                <c:pt idx="29">
                  <c:v>Caracterización Suelos</c:v>
                </c:pt>
                <c:pt idx="30">
                  <c:v>Reasentamiento involuntario</c:v>
                </c:pt>
                <c:pt idx="31">
                  <c:v>Evaluación económica ambiental</c:v>
                </c:pt>
                <c:pt idx="32">
                  <c:v>Paisaje</c:v>
                </c:pt>
                <c:pt idx="33">
                  <c:v>Caracterización biótica / ecosistemas terrestres</c:v>
                </c:pt>
                <c:pt idx="34">
                  <c:v>Conectividad - fragmentación</c:v>
                </c:pt>
                <c:pt idx="35">
                  <c:v>Caracterización uso de las tierras</c:v>
                </c:pt>
                <c:pt idx="36">
                  <c:v>Plan de seguimiento y monitoreo</c:v>
                </c:pt>
                <c:pt idx="37">
                  <c:v>Plan de desmantelamiento y abandono</c:v>
                </c:pt>
                <c:pt idx="38">
                  <c:v>Redacción, numeración, referencias.</c:v>
                </c:pt>
                <c:pt idx="39">
                  <c:v>Zonificación de manejo ambiental</c:v>
                </c:pt>
                <c:pt idx="40">
                  <c:v>Glosario y acrónimos</c:v>
                </c:pt>
                <c:pt idx="41">
                  <c:v>Caracterización ruido</c:v>
                </c:pt>
                <c:pt idx="42">
                  <c:v>Caracterización biótica / ecosistemas</c:v>
                </c:pt>
                <c:pt idx="43">
                  <c:v>Generalidades DAA</c:v>
                </c:pt>
                <c:pt idx="44">
                  <c:v>Cartografía</c:v>
                </c:pt>
                <c:pt idx="45">
                  <c:v>Caracterización oceanografía</c:v>
                </c:pt>
                <c:pt idx="46">
                  <c:v>Salud</c:v>
                </c:pt>
                <c:pt idx="47">
                  <c:v>Áreas de Especial Interés Ambiental</c:v>
                </c:pt>
                <c:pt idx="48">
                  <c:v>Plan de compensaciones</c:v>
                </c:pt>
                <c:pt idx="49">
                  <c:v>Bioacústica</c:v>
                </c:pt>
              </c:strCache>
            </c:strRef>
          </c:cat>
          <c:val>
            <c:numRef>
              <c:f>Gráficas!$D$383:$D$432</c:f>
              <c:numCache>
                <c:formatCode>General</c:formatCode>
                <c:ptCount val="50"/>
                <c:pt idx="0">
                  <c:v>60</c:v>
                </c:pt>
                <c:pt idx="1">
                  <c:v>30</c:v>
                </c:pt>
                <c:pt idx="2">
                  <c:v>17</c:v>
                </c:pt>
                <c:pt idx="3">
                  <c:v>19</c:v>
                </c:pt>
                <c:pt idx="4">
                  <c:v>39</c:v>
                </c:pt>
                <c:pt idx="5">
                  <c:v>12</c:v>
                </c:pt>
                <c:pt idx="6">
                  <c:v>20</c:v>
                </c:pt>
                <c:pt idx="7">
                  <c:v>19</c:v>
                </c:pt>
                <c:pt idx="8">
                  <c:v>5</c:v>
                </c:pt>
                <c:pt idx="9">
                  <c:v>28</c:v>
                </c:pt>
                <c:pt idx="10">
                  <c:v>17</c:v>
                </c:pt>
                <c:pt idx="11">
                  <c:v>4</c:v>
                </c:pt>
                <c:pt idx="12">
                  <c:v>11</c:v>
                </c:pt>
                <c:pt idx="13">
                  <c:v>8</c:v>
                </c:pt>
                <c:pt idx="14">
                  <c:v>10</c:v>
                </c:pt>
                <c:pt idx="15">
                  <c:v>6</c:v>
                </c:pt>
                <c:pt idx="16">
                  <c:v>10</c:v>
                </c:pt>
                <c:pt idx="17">
                  <c:v>15</c:v>
                </c:pt>
                <c:pt idx="18">
                  <c:v>1</c:v>
                </c:pt>
                <c:pt idx="19">
                  <c:v>2</c:v>
                </c:pt>
                <c:pt idx="20">
                  <c:v>3</c:v>
                </c:pt>
                <c:pt idx="21">
                  <c:v>5</c:v>
                </c:pt>
                <c:pt idx="22">
                  <c:v>5</c:v>
                </c:pt>
                <c:pt idx="23">
                  <c:v>7</c:v>
                </c:pt>
                <c:pt idx="25">
                  <c:v>7</c:v>
                </c:pt>
                <c:pt idx="26">
                  <c:v>9</c:v>
                </c:pt>
                <c:pt idx="27">
                  <c:v>3</c:v>
                </c:pt>
                <c:pt idx="28">
                  <c:v>9</c:v>
                </c:pt>
                <c:pt idx="29">
                  <c:v>12</c:v>
                </c:pt>
                <c:pt idx="33">
                  <c:v>4</c:v>
                </c:pt>
                <c:pt idx="34">
                  <c:v>6</c:v>
                </c:pt>
                <c:pt idx="35">
                  <c:v>5</c:v>
                </c:pt>
                <c:pt idx="36">
                  <c:v>4</c:v>
                </c:pt>
                <c:pt idx="37">
                  <c:v>2</c:v>
                </c:pt>
                <c:pt idx="38">
                  <c:v>1</c:v>
                </c:pt>
                <c:pt idx="39">
                  <c:v>4</c:v>
                </c:pt>
                <c:pt idx="40">
                  <c:v>1</c:v>
                </c:pt>
                <c:pt idx="42">
                  <c:v>1</c:v>
                </c:pt>
                <c:pt idx="43">
                  <c:v>1</c:v>
                </c:pt>
                <c:pt idx="46">
                  <c:v>1</c:v>
                </c:pt>
                <c:pt idx="47">
                  <c:v>1</c:v>
                </c:pt>
                <c:pt idx="49">
                  <c:v>1</c:v>
                </c:pt>
              </c:numCache>
            </c:numRef>
          </c:val>
          <c:extLst>
            <c:ext xmlns:c16="http://schemas.microsoft.com/office/drawing/2014/chart" uri="{C3380CC4-5D6E-409C-BE32-E72D297353CC}">
              <c16:uniqueId val="{00000001-B9D2-406E-A593-F22E34C26953}"/>
            </c:ext>
          </c:extLst>
        </c:ser>
        <c:ser>
          <c:idx val="2"/>
          <c:order val="2"/>
          <c:tx>
            <c:strRef>
              <c:f>Gráficas!$E$382</c:f>
              <c:strCache>
                <c:ptCount val="1"/>
                <c:pt idx="0">
                  <c:v>Se acoge la propuesta. </c:v>
                </c:pt>
              </c:strCache>
            </c:strRef>
          </c:tx>
          <c:spPr>
            <a:solidFill>
              <a:srgbClr val="00B050"/>
            </a:solidFill>
          </c:spPr>
          <c:invertIfNegative val="0"/>
          <c:cat>
            <c:strRef>
              <c:f>Gráficas!$B$383:$B$432</c:f>
              <c:strCache>
                <c:ptCount val="50"/>
                <c:pt idx="0">
                  <c:v>Lineamientos de participación</c:v>
                </c:pt>
                <c:pt idx="1">
                  <c:v>Cambio climático</c:v>
                </c:pt>
                <c:pt idx="2">
                  <c:v>Caracterización socioeconómica</c:v>
                </c:pt>
                <c:pt idx="3">
                  <c:v>Evaluación ambiental</c:v>
                </c:pt>
                <c:pt idx="4">
                  <c:v>Derechos humanos</c:v>
                </c:pt>
                <c:pt idx="5">
                  <c:v>Uso y aprovechamiento de recursos naturales</c:v>
                </c:pt>
                <c:pt idx="6">
                  <c:v>Caracterización biótica / fauna</c:v>
                </c:pt>
                <c:pt idx="7">
                  <c:v>Riesgos</c:v>
                </c:pt>
                <c:pt idx="8">
                  <c:v>Caracterización hidrológica</c:v>
                </c:pt>
                <c:pt idx="9">
                  <c:v>Área de influencia / Biótica</c:v>
                </c:pt>
                <c:pt idx="10">
                  <c:v>General</c:v>
                </c:pt>
                <c:pt idx="11">
                  <c:v>Caracterización hidrogeológica</c:v>
                </c:pt>
                <c:pt idx="12">
                  <c:v>Fuentes y presentación</c:v>
                </c:pt>
                <c:pt idx="13">
                  <c:v>Descripción del proyecto</c:v>
                </c:pt>
                <c:pt idx="14">
                  <c:v>Área de influencia / Abiótica</c:v>
                </c:pt>
                <c:pt idx="15">
                  <c:v>Caracterización biótica / ecosistemas acuáticos</c:v>
                </c:pt>
                <c:pt idx="16">
                  <c:v>Caracterización biótica / flora</c:v>
                </c:pt>
                <c:pt idx="17">
                  <c:v>Área de influencia</c:v>
                </c:pt>
                <c:pt idx="18">
                  <c:v>Caracterización geo</c:v>
                </c:pt>
                <c:pt idx="19">
                  <c:v>Área de estudio</c:v>
                </c:pt>
                <c:pt idx="20">
                  <c:v>Zonificación ambiental</c:v>
                </c:pt>
                <c:pt idx="21">
                  <c:v>Servicios ecosistémicos</c:v>
                </c:pt>
                <c:pt idx="22">
                  <c:v>Caracterización atmosférica</c:v>
                </c:pt>
                <c:pt idx="23">
                  <c:v>Área de influencia / Socioeconómica</c:v>
                </c:pt>
                <c:pt idx="24">
                  <c:v>Resolución</c:v>
                </c:pt>
                <c:pt idx="25">
                  <c:v>Plan de manejo ambiental</c:v>
                </c:pt>
                <c:pt idx="26">
                  <c:v>Caracterización general</c:v>
                </c:pt>
                <c:pt idx="27">
                  <c:v>Comparación de alternativas</c:v>
                </c:pt>
                <c:pt idx="28">
                  <c:v>MAG</c:v>
                </c:pt>
                <c:pt idx="29">
                  <c:v>Caracterización Suelos</c:v>
                </c:pt>
                <c:pt idx="30">
                  <c:v>Reasentamiento involuntario</c:v>
                </c:pt>
                <c:pt idx="31">
                  <c:v>Evaluación económica ambiental</c:v>
                </c:pt>
                <c:pt idx="32">
                  <c:v>Paisaje</c:v>
                </c:pt>
                <c:pt idx="33">
                  <c:v>Caracterización biótica / ecosistemas terrestres</c:v>
                </c:pt>
                <c:pt idx="34">
                  <c:v>Conectividad - fragmentación</c:v>
                </c:pt>
                <c:pt idx="35">
                  <c:v>Caracterización uso de las tierras</c:v>
                </c:pt>
                <c:pt idx="36">
                  <c:v>Plan de seguimiento y monitoreo</c:v>
                </c:pt>
                <c:pt idx="37">
                  <c:v>Plan de desmantelamiento y abandono</c:v>
                </c:pt>
                <c:pt idx="38">
                  <c:v>Redacción, numeración, referencias.</c:v>
                </c:pt>
                <c:pt idx="39">
                  <c:v>Zonificación de manejo ambiental</c:v>
                </c:pt>
                <c:pt idx="40">
                  <c:v>Glosario y acrónimos</c:v>
                </c:pt>
                <c:pt idx="41">
                  <c:v>Caracterización ruido</c:v>
                </c:pt>
                <c:pt idx="42">
                  <c:v>Caracterización biótica / ecosistemas</c:v>
                </c:pt>
                <c:pt idx="43">
                  <c:v>Generalidades DAA</c:v>
                </c:pt>
                <c:pt idx="44">
                  <c:v>Cartografía</c:v>
                </c:pt>
                <c:pt idx="45">
                  <c:v>Caracterización oceanografía</c:v>
                </c:pt>
                <c:pt idx="46">
                  <c:v>Salud</c:v>
                </c:pt>
                <c:pt idx="47">
                  <c:v>Áreas de Especial Interés Ambiental</c:v>
                </c:pt>
                <c:pt idx="48">
                  <c:v>Plan de compensaciones</c:v>
                </c:pt>
                <c:pt idx="49">
                  <c:v>Bioacústica</c:v>
                </c:pt>
              </c:strCache>
            </c:strRef>
          </c:cat>
          <c:val>
            <c:numRef>
              <c:f>Gráficas!$E$383:$E$432</c:f>
              <c:numCache>
                <c:formatCode>General</c:formatCode>
                <c:ptCount val="50"/>
                <c:pt idx="0">
                  <c:v>20</c:v>
                </c:pt>
                <c:pt idx="1">
                  <c:v>5</c:v>
                </c:pt>
                <c:pt idx="2">
                  <c:v>20</c:v>
                </c:pt>
                <c:pt idx="3">
                  <c:v>6</c:v>
                </c:pt>
                <c:pt idx="4">
                  <c:v>3</c:v>
                </c:pt>
                <c:pt idx="5">
                  <c:v>6</c:v>
                </c:pt>
                <c:pt idx="6">
                  <c:v>11</c:v>
                </c:pt>
                <c:pt idx="7">
                  <c:v>1</c:v>
                </c:pt>
                <c:pt idx="8">
                  <c:v>5</c:v>
                </c:pt>
                <c:pt idx="9">
                  <c:v>2</c:v>
                </c:pt>
                <c:pt idx="10">
                  <c:v>2</c:v>
                </c:pt>
                <c:pt idx="11">
                  <c:v>2</c:v>
                </c:pt>
                <c:pt idx="12">
                  <c:v>2</c:v>
                </c:pt>
                <c:pt idx="15">
                  <c:v>6</c:v>
                </c:pt>
                <c:pt idx="16">
                  <c:v>4</c:v>
                </c:pt>
                <c:pt idx="17">
                  <c:v>1</c:v>
                </c:pt>
                <c:pt idx="18">
                  <c:v>3</c:v>
                </c:pt>
                <c:pt idx="19">
                  <c:v>2</c:v>
                </c:pt>
                <c:pt idx="22">
                  <c:v>1</c:v>
                </c:pt>
                <c:pt idx="24">
                  <c:v>4</c:v>
                </c:pt>
                <c:pt idx="25">
                  <c:v>3</c:v>
                </c:pt>
                <c:pt idx="27">
                  <c:v>2</c:v>
                </c:pt>
                <c:pt idx="31">
                  <c:v>1</c:v>
                </c:pt>
                <c:pt idx="33">
                  <c:v>1</c:v>
                </c:pt>
                <c:pt idx="35">
                  <c:v>1</c:v>
                </c:pt>
                <c:pt idx="38">
                  <c:v>5</c:v>
                </c:pt>
                <c:pt idx="42">
                  <c:v>1</c:v>
                </c:pt>
              </c:numCache>
            </c:numRef>
          </c:val>
          <c:extLst>
            <c:ext xmlns:c16="http://schemas.microsoft.com/office/drawing/2014/chart" uri="{C3380CC4-5D6E-409C-BE32-E72D297353CC}">
              <c16:uniqueId val="{00000002-B9D2-406E-A593-F22E34C26953}"/>
            </c:ext>
          </c:extLst>
        </c:ser>
        <c:ser>
          <c:idx val="3"/>
          <c:order val="3"/>
          <c:tx>
            <c:strRef>
              <c:f>Gráficas!$F$382</c:f>
              <c:strCache>
                <c:ptCount val="1"/>
                <c:pt idx="0">
                  <c:v>Se acoge parcialmente la propuesta.</c:v>
                </c:pt>
              </c:strCache>
            </c:strRef>
          </c:tx>
          <c:spPr>
            <a:solidFill>
              <a:srgbClr val="FFC000"/>
            </a:solidFill>
          </c:spPr>
          <c:invertIfNegative val="0"/>
          <c:cat>
            <c:strRef>
              <c:f>Gráficas!$B$383:$B$432</c:f>
              <c:strCache>
                <c:ptCount val="50"/>
                <c:pt idx="0">
                  <c:v>Lineamientos de participación</c:v>
                </c:pt>
                <c:pt idx="1">
                  <c:v>Cambio climático</c:v>
                </c:pt>
                <c:pt idx="2">
                  <c:v>Caracterización socioeconómica</c:v>
                </c:pt>
                <c:pt idx="3">
                  <c:v>Evaluación ambiental</c:v>
                </c:pt>
                <c:pt idx="4">
                  <c:v>Derechos humanos</c:v>
                </c:pt>
                <c:pt idx="5">
                  <c:v>Uso y aprovechamiento de recursos naturales</c:v>
                </c:pt>
                <c:pt idx="6">
                  <c:v>Caracterización biótica / fauna</c:v>
                </c:pt>
                <c:pt idx="7">
                  <c:v>Riesgos</c:v>
                </c:pt>
                <c:pt idx="8">
                  <c:v>Caracterización hidrológica</c:v>
                </c:pt>
                <c:pt idx="9">
                  <c:v>Área de influencia / Biótica</c:v>
                </c:pt>
                <c:pt idx="10">
                  <c:v>General</c:v>
                </c:pt>
                <c:pt idx="11">
                  <c:v>Caracterización hidrogeológica</c:v>
                </c:pt>
                <c:pt idx="12">
                  <c:v>Fuentes y presentación</c:v>
                </c:pt>
                <c:pt idx="13">
                  <c:v>Descripción del proyecto</c:v>
                </c:pt>
                <c:pt idx="14">
                  <c:v>Área de influencia / Abiótica</c:v>
                </c:pt>
                <c:pt idx="15">
                  <c:v>Caracterización biótica / ecosistemas acuáticos</c:v>
                </c:pt>
                <c:pt idx="16">
                  <c:v>Caracterización biótica / flora</c:v>
                </c:pt>
                <c:pt idx="17">
                  <c:v>Área de influencia</c:v>
                </c:pt>
                <c:pt idx="18">
                  <c:v>Caracterización geo</c:v>
                </c:pt>
                <c:pt idx="19">
                  <c:v>Área de estudio</c:v>
                </c:pt>
                <c:pt idx="20">
                  <c:v>Zonificación ambiental</c:v>
                </c:pt>
                <c:pt idx="21">
                  <c:v>Servicios ecosistémicos</c:v>
                </c:pt>
                <c:pt idx="22">
                  <c:v>Caracterización atmosférica</c:v>
                </c:pt>
                <c:pt idx="23">
                  <c:v>Área de influencia / Socioeconómica</c:v>
                </c:pt>
                <c:pt idx="24">
                  <c:v>Resolución</c:v>
                </c:pt>
                <c:pt idx="25">
                  <c:v>Plan de manejo ambiental</c:v>
                </c:pt>
                <c:pt idx="26">
                  <c:v>Caracterización general</c:v>
                </c:pt>
                <c:pt idx="27">
                  <c:v>Comparación de alternativas</c:v>
                </c:pt>
                <c:pt idx="28">
                  <c:v>MAG</c:v>
                </c:pt>
                <c:pt idx="29">
                  <c:v>Caracterización Suelos</c:v>
                </c:pt>
                <c:pt idx="30">
                  <c:v>Reasentamiento involuntario</c:v>
                </c:pt>
                <c:pt idx="31">
                  <c:v>Evaluación económica ambiental</c:v>
                </c:pt>
                <c:pt idx="32">
                  <c:v>Paisaje</c:v>
                </c:pt>
                <c:pt idx="33">
                  <c:v>Caracterización biótica / ecosistemas terrestres</c:v>
                </c:pt>
                <c:pt idx="34">
                  <c:v>Conectividad - fragmentación</c:v>
                </c:pt>
                <c:pt idx="35">
                  <c:v>Caracterización uso de las tierras</c:v>
                </c:pt>
                <c:pt idx="36">
                  <c:v>Plan de seguimiento y monitoreo</c:v>
                </c:pt>
                <c:pt idx="37">
                  <c:v>Plan de desmantelamiento y abandono</c:v>
                </c:pt>
                <c:pt idx="38">
                  <c:v>Redacción, numeración, referencias.</c:v>
                </c:pt>
                <c:pt idx="39">
                  <c:v>Zonificación de manejo ambiental</c:v>
                </c:pt>
                <c:pt idx="40">
                  <c:v>Glosario y acrónimos</c:v>
                </c:pt>
                <c:pt idx="41">
                  <c:v>Caracterización ruido</c:v>
                </c:pt>
                <c:pt idx="42">
                  <c:v>Caracterización biótica / ecosistemas</c:v>
                </c:pt>
                <c:pt idx="43">
                  <c:v>Generalidades DAA</c:v>
                </c:pt>
                <c:pt idx="44">
                  <c:v>Cartografía</c:v>
                </c:pt>
                <c:pt idx="45">
                  <c:v>Caracterización oceanografía</c:v>
                </c:pt>
                <c:pt idx="46">
                  <c:v>Salud</c:v>
                </c:pt>
                <c:pt idx="47">
                  <c:v>Áreas de Especial Interés Ambiental</c:v>
                </c:pt>
                <c:pt idx="48">
                  <c:v>Plan de compensaciones</c:v>
                </c:pt>
                <c:pt idx="49">
                  <c:v>Bioacústica</c:v>
                </c:pt>
              </c:strCache>
            </c:strRef>
          </c:cat>
          <c:val>
            <c:numRef>
              <c:f>Gráficas!$F$383:$F$432</c:f>
              <c:numCache>
                <c:formatCode>General</c:formatCode>
                <c:ptCount val="50"/>
                <c:pt idx="0">
                  <c:v>35</c:v>
                </c:pt>
                <c:pt idx="1">
                  <c:v>26</c:v>
                </c:pt>
                <c:pt idx="2">
                  <c:v>54</c:v>
                </c:pt>
                <c:pt idx="3">
                  <c:v>11</c:v>
                </c:pt>
                <c:pt idx="4">
                  <c:v>1</c:v>
                </c:pt>
                <c:pt idx="5">
                  <c:v>8</c:v>
                </c:pt>
                <c:pt idx="6">
                  <c:v>7</c:v>
                </c:pt>
                <c:pt idx="8">
                  <c:v>11</c:v>
                </c:pt>
                <c:pt idx="10">
                  <c:v>5</c:v>
                </c:pt>
                <c:pt idx="11">
                  <c:v>5</c:v>
                </c:pt>
                <c:pt idx="12">
                  <c:v>8</c:v>
                </c:pt>
                <c:pt idx="13">
                  <c:v>1</c:v>
                </c:pt>
                <c:pt idx="14">
                  <c:v>6</c:v>
                </c:pt>
                <c:pt idx="15">
                  <c:v>6</c:v>
                </c:pt>
                <c:pt idx="16">
                  <c:v>7</c:v>
                </c:pt>
                <c:pt idx="17">
                  <c:v>2</c:v>
                </c:pt>
                <c:pt idx="18">
                  <c:v>6</c:v>
                </c:pt>
                <c:pt idx="19">
                  <c:v>1</c:v>
                </c:pt>
                <c:pt idx="20">
                  <c:v>5</c:v>
                </c:pt>
                <c:pt idx="22">
                  <c:v>5</c:v>
                </c:pt>
                <c:pt idx="24">
                  <c:v>3</c:v>
                </c:pt>
                <c:pt idx="26">
                  <c:v>4</c:v>
                </c:pt>
                <c:pt idx="27">
                  <c:v>1</c:v>
                </c:pt>
                <c:pt idx="28">
                  <c:v>4</c:v>
                </c:pt>
                <c:pt idx="30">
                  <c:v>2</c:v>
                </c:pt>
                <c:pt idx="31">
                  <c:v>1</c:v>
                </c:pt>
                <c:pt idx="33">
                  <c:v>3</c:v>
                </c:pt>
                <c:pt idx="34">
                  <c:v>2</c:v>
                </c:pt>
                <c:pt idx="36">
                  <c:v>1</c:v>
                </c:pt>
                <c:pt idx="37">
                  <c:v>1</c:v>
                </c:pt>
                <c:pt idx="44">
                  <c:v>2</c:v>
                </c:pt>
              </c:numCache>
            </c:numRef>
          </c:val>
          <c:extLst>
            <c:ext xmlns:c16="http://schemas.microsoft.com/office/drawing/2014/chart" uri="{C3380CC4-5D6E-409C-BE32-E72D297353CC}">
              <c16:uniqueId val="{00000003-B9D2-406E-A593-F22E34C26953}"/>
            </c:ext>
          </c:extLst>
        </c:ser>
        <c:dLbls>
          <c:showLegendKey val="0"/>
          <c:showVal val="0"/>
          <c:showCatName val="0"/>
          <c:showSerName val="0"/>
          <c:showPercent val="0"/>
          <c:showBubbleSize val="0"/>
        </c:dLbls>
        <c:gapWidth val="55"/>
        <c:overlap val="100"/>
        <c:axId val="399657407"/>
        <c:axId val="399658847"/>
      </c:barChart>
      <c:catAx>
        <c:axId val="399657407"/>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CO"/>
          </a:p>
        </c:txPr>
        <c:crossAx val="399658847"/>
        <c:crosses val="autoZero"/>
        <c:auto val="1"/>
        <c:lblAlgn val="ctr"/>
        <c:lblOffset val="100"/>
        <c:noMultiLvlLbl val="0"/>
      </c:catAx>
      <c:valAx>
        <c:axId val="399658847"/>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99657407"/>
        <c:crosses val="autoZero"/>
        <c:crossBetween val="between"/>
      </c:valAx>
    </c:plotArea>
    <c:legend>
      <c:legendPos val="b"/>
      <c:layout>
        <c:manualLayout>
          <c:xMode val="edge"/>
          <c:yMode val="edge"/>
          <c:x val="3.4796896411278387E-2"/>
          <c:y val="0.93897435690148578"/>
          <c:w val="0.94454485724713555"/>
          <c:h val="5.9315122772210266E-2"/>
        </c:manualLayout>
      </c:layout>
      <c:overlay val="0"/>
      <c:txPr>
        <a:bodyPr/>
        <a:lstStyle/>
        <a:p>
          <a:pPr>
            <a:defRPr sz="900"/>
          </a:pPr>
          <a:endParaRPr lang="es-MX"/>
        </a:p>
      </c:txPr>
    </c:legend>
    <c:plotVisOnly val="1"/>
    <c:dispBlanksAs val="gap"/>
    <c:showDLblsOverMax val="0"/>
    <c:extLst/>
  </c:chart>
  <c:txPr>
    <a:bodyPr/>
    <a:lstStyle/>
    <a:p>
      <a:pPr>
        <a:defRPr/>
      </a:pPr>
      <a:endParaRPr lang="es-CO"/>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0A6A0-ACD0-46BC-8502-0E6E19930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7</Pages>
  <Words>670</Words>
  <Characters>3753</Characters>
  <Application>Microsoft Office Word</Application>
  <DocSecurity>0</DocSecurity>
  <Lines>98</Lines>
  <Paragraphs>53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del Carmen Cabeza</dc:creator>
  <cp:lastModifiedBy>Camilo Ernesto Buitrago Soto</cp:lastModifiedBy>
  <cp:revision>60</cp:revision>
  <cp:lastPrinted>2021-06-25T14:15:00Z</cp:lastPrinted>
  <dcterms:created xsi:type="dcterms:W3CDTF">2021-06-24T23:40:00Z</dcterms:created>
  <dcterms:modified xsi:type="dcterms:W3CDTF">2026-07-22T20:14:00Z</dcterms:modified>
</cp:coreProperties>
</file>